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6D" w:rsidRPr="002F0318" w:rsidRDefault="00345C16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83170" cy="106775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le_2_CO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17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5C16" w:rsidRDefault="00345C16"/>
    <w:p w:rsidR="00345C16" w:rsidRDefault="00345C16"/>
    <w:p w:rsidR="00345C16" w:rsidRDefault="00345C16"/>
    <w:p w:rsidR="00345C16" w:rsidRDefault="00345C16"/>
    <w:p w:rsidR="00345C16" w:rsidRDefault="00345C16"/>
    <w:p w:rsidR="00345C16" w:rsidRDefault="00345C16"/>
    <w:p w:rsidR="00345C16" w:rsidRDefault="00345C16"/>
    <w:p w:rsidR="00345C16" w:rsidRDefault="00345C16"/>
    <w:p w:rsidR="00E978BF" w:rsidRDefault="00E978BF" w:rsidP="00C22541">
      <w:pPr>
        <w:spacing w:after="0"/>
        <w:jc w:val="center"/>
        <w:rPr>
          <w:rFonts w:ascii="Play" w:hAnsi="Play"/>
          <w:b/>
          <w:sz w:val="40"/>
          <w:lang w:val="ru-RU"/>
        </w:rPr>
      </w:pPr>
    </w:p>
    <w:p w:rsidR="00E978BF" w:rsidRDefault="00E978BF" w:rsidP="00C22541">
      <w:pPr>
        <w:spacing w:after="0"/>
        <w:jc w:val="center"/>
        <w:rPr>
          <w:rFonts w:ascii="Play" w:hAnsi="Play"/>
          <w:b/>
          <w:sz w:val="40"/>
          <w:lang w:val="ru-RU"/>
        </w:rPr>
      </w:pPr>
    </w:p>
    <w:p w:rsidR="00345C16" w:rsidRPr="00BF70B1" w:rsidRDefault="00C22541" w:rsidP="00C22541">
      <w:pPr>
        <w:spacing w:after="0"/>
        <w:jc w:val="center"/>
        <w:rPr>
          <w:rFonts w:ascii="Play" w:hAnsi="Play"/>
          <w:b/>
          <w:sz w:val="40"/>
          <w:lang w:val="ru-RU"/>
        </w:rPr>
      </w:pPr>
      <w:r w:rsidRPr="00C22541">
        <w:rPr>
          <w:rFonts w:ascii="Play" w:hAnsi="Play"/>
          <w:b/>
          <w:sz w:val="40"/>
          <w:lang w:val="ru-RU"/>
        </w:rPr>
        <w:t>Система должной добросовестности</w:t>
      </w:r>
      <w:r w:rsidRPr="00BF70B1">
        <w:rPr>
          <w:rFonts w:ascii="Play" w:hAnsi="Play"/>
          <w:b/>
          <w:sz w:val="40"/>
          <w:lang w:val="ru-RU"/>
        </w:rPr>
        <w:t xml:space="preserve"> (</w:t>
      </w:r>
      <w:r w:rsidRPr="00C22541">
        <w:rPr>
          <w:rFonts w:ascii="Play" w:hAnsi="Play"/>
          <w:b/>
          <w:sz w:val="40"/>
        </w:rPr>
        <w:t>DDS</w:t>
      </w:r>
      <w:r w:rsidRPr="00BF70B1">
        <w:rPr>
          <w:rFonts w:ascii="Play" w:hAnsi="Play"/>
          <w:b/>
          <w:sz w:val="40"/>
          <w:lang w:val="ru-RU"/>
        </w:rPr>
        <w:t>)</w:t>
      </w:r>
    </w:p>
    <w:p w:rsidR="00C22541" w:rsidRPr="00C22541" w:rsidRDefault="00D36810" w:rsidP="00C22541">
      <w:pPr>
        <w:spacing w:after="0"/>
        <w:jc w:val="center"/>
        <w:rPr>
          <w:rFonts w:ascii="Play" w:hAnsi="Play"/>
          <w:b/>
          <w:sz w:val="40"/>
          <w:lang w:val="ru-RU"/>
        </w:rPr>
      </w:pPr>
      <w:r>
        <w:rPr>
          <w:rFonts w:ascii="Play" w:hAnsi="Play"/>
          <w:b/>
          <w:sz w:val="40"/>
          <w:lang w:val="ru-RU"/>
        </w:rPr>
        <w:t>д</w:t>
      </w:r>
      <w:r w:rsidR="00C22541" w:rsidRPr="00C22541">
        <w:rPr>
          <w:rFonts w:ascii="Play" w:hAnsi="Play"/>
          <w:b/>
          <w:sz w:val="40"/>
          <w:lang w:val="ru-RU"/>
        </w:rPr>
        <w:t xml:space="preserve">ля соблюдения требований к закупкам </w:t>
      </w:r>
    </w:p>
    <w:p w:rsidR="00C22541" w:rsidRPr="00C22541" w:rsidRDefault="00C22541" w:rsidP="00C22541">
      <w:pPr>
        <w:spacing w:after="0"/>
        <w:jc w:val="center"/>
        <w:rPr>
          <w:rFonts w:ascii="Play" w:hAnsi="Play"/>
          <w:b/>
          <w:sz w:val="40"/>
          <w:lang w:val="ru-RU"/>
        </w:rPr>
      </w:pPr>
      <w:r w:rsidRPr="00C22541">
        <w:rPr>
          <w:rFonts w:ascii="Play" w:hAnsi="Play"/>
          <w:b/>
          <w:sz w:val="40"/>
        </w:rPr>
        <w:t>FSC</w:t>
      </w:r>
      <w:r w:rsidRPr="00C22541">
        <w:rPr>
          <w:rFonts w:ascii="Play" w:hAnsi="Play"/>
          <w:b/>
          <w:sz w:val="40"/>
          <w:lang w:val="ru-RU"/>
        </w:rPr>
        <w:t>-контролируемой древесины</w:t>
      </w:r>
    </w:p>
    <w:p w:rsidR="00C22541" w:rsidRDefault="00C22541" w:rsidP="00C22541">
      <w:pPr>
        <w:spacing w:after="0"/>
        <w:jc w:val="center"/>
        <w:rPr>
          <w:rFonts w:ascii="Play" w:hAnsi="Play"/>
          <w:sz w:val="40"/>
          <w:lang w:val="ru-RU"/>
        </w:rPr>
      </w:pPr>
    </w:p>
    <w:p w:rsidR="00C22541" w:rsidRDefault="00C22541" w:rsidP="00C22541">
      <w:pPr>
        <w:spacing w:after="0"/>
        <w:jc w:val="center"/>
        <w:rPr>
          <w:rFonts w:ascii="Play" w:hAnsi="Play"/>
          <w:sz w:val="40"/>
          <w:lang w:val="ru-RU"/>
        </w:rPr>
      </w:pPr>
      <w:r w:rsidRPr="00C22541">
        <w:rPr>
          <w:rFonts w:ascii="Play" w:hAnsi="Play"/>
          <w:sz w:val="40"/>
          <w:lang w:val="ru-RU"/>
        </w:rPr>
        <w:t xml:space="preserve">Согласно </w:t>
      </w:r>
      <w:r>
        <w:rPr>
          <w:rFonts w:ascii="Play" w:hAnsi="Play"/>
          <w:sz w:val="40"/>
          <w:lang w:val="ru-RU"/>
        </w:rPr>
        <w:t>ст</w:t>
      </w:r>
      <w:r w:rsidRPr="00C22541">
        <w:rPr>
          <w:rFonts w:ascii="Play" w:hAnsi="Play"/>
          <w:sz w:val="40"/>
          <w:lang w:val="ru-RU"/>
        </w:rPr>
        <w:t xml:space="preserve">андарту </w:t>
      </w:r>
    </w:p>
    <w:p w:rsidR="00C22541" w:rsidRPr="00056CBD" w:rsidRDefault="00C22541" w:rsidP="00C22541">
      <w:pPr>
        <w:spacing w:after="0"/>
        <w:jc w:val="center"/>
        <w:rPr>
          <w:rFonts w:ascii="Play" w:hAnsi="Play"/>
          <w:sz w:val="40"/>
          <w:lang w:val="ru-RU"/>
        </w:rPr>
      </w:pPr>
      <w:r w:rsidRPr="00C22541">
        <w:rPr>
          <w:rFonts w:ascii="Play" w:hAnsi="Play"/>
          <w:sz w:val="40"/>
        </w:rPr>
        <w:t>FSC</w:t>
      </w:r>
      <w:r w:rsidRPr="00C22541">
        <w:rPr>
          <w:rFonts w:ascii="Play" w:hAnsi="Play"/>
          <w:sz w:val="40"/>
          <w:lang w:val="ru-RU"/>
        </w:rPr>
        <w:t>-</w:t>
      </w:r>
      <w:r w:rsidRPr="00C22541">
        <w:rPr>
          <w:rFonts w:ascii="Play" w:hAnsi="Play"/>
          <w:sz w:val="40"/>
        </w:rPr>
        <w:t>STD</w:t>
      </w:r>
      <w:r w:rsidRPr="00C22541">
        <w:rPr>
          <w:rFonts w:ascii="Play" w:hAnsi="Play"/>
          <w:sz w:val="40"/>
          <w:lang w:val="ru-RU"/>
        </w:rPr>
        <w:t xml:space="preserve">-40-005 </w:t>
      </w:r>
      <w:r w:rsidRPr="00C22541">
        <w:rPr>
          <w:rFonts w:ascii="Play" w:hAnsi="Play"/>
          <w:sz w:val="40"/>
        </w:rPr>
        <w:t>v</w:t>
      </w:r>
      <w:r w:rsidRPr="00C22541">
        <w:rPr>
          <w:rFonts w:ascii="Play" w:hAnsi="Play"/>
          <w:sz w:val="40"/>
          <w:lang w:val="ru-RU"/>
        </w:rPr>
        <w:t>3-</w:t>
      </w:r>
      <w:r w:rsidR="00056CBD" w:rsidRPr="00056CBD">
        <w:rPr>
          <w:rFonts w:ascii="Play" w:hAnsi="Play"/>
          <w:sz w:val="40"/>
          <w:lang w:val="ru-RU"/>
        </w:rPr>
        <w:t>1</w:t>
      </w:r>
    </w:p>
    <w:p w:rsidR="00C22541" w:rsidRDefault="00C22541" w:rsidP="00C22541">
      <w:pPr>
        <w:spacing w:after="0"/>
        <w:jc w:val="center"/>
        <w:rPr>
          <w:rFonts w:ascii="Play" w:hAnsi="Play"/>
          <w:sz w:val="40"/>
          <w:lang w:val="ru-RU"/>
        </w:rPr>
      </w:pPr>
    </w:p>
    <w:p w:rsidR="00C22541" w:rsidRDefault="00C22541" w:rsidP="00C22541">
      <w:pPr>
        <w:spacing w:after="0"/>
        <w:jc w:val="center"/>
        <w:rPr>
          <w:rFonts w:ascii="Play" w:hAnsi="Play"/>
          <w:sz w:val="40"/>
          <w:lang w:val="ru-RU"/>
        </w:rPr>
      </w:pPr>
    </w:p>
    <w:p w:rsidR="00C22541" w:rsidRDefault="00C22541" w:rsidP="00C22541">
      <w:pPr>
        <w:spacing w:after="0"/>
        <w:jc w:val="center"/>
        <w:rPr>
          <w:rFonts w:ascii="Play" w:hAnsi="Play"/>
          <w:sz w:val="40"/>
          <w:lang w:val="ru-RU"/>
        </w:rPr>
      </w:pPr>
    </w:p>
    <w:p w:rsidR="00C22541" w:rsidRPr="00C84277" w:rsidRDefault="00183A1D" w:rsidP="0039739D">
      <w:pPr>
        <w:suppressAutoHyphens/>
        <w:spacing w:after="0"/>
        <w:jc w:val="center"/>
        <w:rPr>
          <w:rFonts w:ascii="Play" w:hAnsi="Play"/>
          <w:b/>
          <w:sz w:val="56"/>
          <w:lang w:val="ru-RU"/>
        </w:rPr>
      </w:pPr>
      <w:r w:rsidRPr="00183A1D">
        <w:rPr>
          <w:rFonts w:ascii="Play" w:hAnsi="Play"/>
          <w:b/>
          <w:sz w:val="56"/>
          <w:lang w:val="ru-RU"/>
        </w:rPr>
        <w:t>АО «Череповецкий фанерно-мебельный комбинат»</w:t>
      </w:r>
    </w:p>
    <w:p w:rsidR="00C22541" w:rsidRDefault="00C22541" w:rsidP="00C22541">
      <w:pPr>
        <w:spacing w:after="0"/>
        <w:jc w:val="center"/>
        <w:rPr>
          <w:rFonts w:ascii="Play" w:hAnsi="Play"/>
          <w:sz w:val="40"/>
          <w:lang w:val="ru-RU"/>
        </w:rPr>
      </w:pPr>
    </w:p>
    <w:p w:rsidR="00C22541" w:rsidRDefault="00C22541" w:rsidP="00C22541">
      <w:pPr>
        <w:spacing w:after="0"/>
        <w:jc w:val="center"/>
        <w:rPr>
          <w:rFonts w:ascii="Play" w:hAnsi="Play"/>
          <w:sz w:val="40"/>
          <w:lang w:val="ru-RU"/>
        </w:rPr>
      </w:pPr>
    </w:p>
    <w:p w:rsidR="00C22541" w:rsidRPr="00183A1D" w:rsidRDefault="008949D4" w:rsidP="00183A1D">
      <w:pPr>
        <w:spacing w:after="0"/>
        <w:jc w:val="center"/>
        <w:rPr>
          <w:rFonts w:ascii="Play" w:hAnsi="Play"/>
          <w:color w:val="FF4CFF" w:themeColor="background1" w:themeShade="A6"/>
          <w:sz w:val="28"/>
          <w:lang w:val="ru-RU"/>
        </w:rPr>
      </w:pPr>
      <w:r w:rsidRPr="008949D4">
        <w:rPr>
          <w:rFonts w:ascii="Play" w:hAnsi="Play"/>
          <w:color w:val="FF4CFF" w:themeColor="background1" w:themeShade="A6"/>
          <w:sz w:val="28"/>
        </w:rPr>
        <w:t>v</w:t>
      </w:r>
      <w:r w:rsidRPr="008949D4">
        <w:rPr>
          <w:rFonts w:ascii="Play" w:hAnsi="Play"/>
          <w:color w:val="FF4CFF" w:themeColor="background1" w:themeShade="A6"/>
          <w:sz w:val="28"/>
          <w:lang w:val="ru-RU"/>
        </w:rPr>
        <w:t xml:space="preserve"> 1.</w:t>
      </w:r>
      <w:r w:rsidR="00C75E94">
        <w:rPr>
          <w:rFonts w:ascii="Play" w:hAnsi="Play"/>
          <w:color w:val="FF4CFF" w:themeColor="background1" w:themeShade="A6"/>
          <w:sz w:val="28"/>
          <w:lang w:val="ru-RU"/>
        </w:rPr>
        <w:t>1</w:t>
      </w:r>
    </w:p>
    <w:p w:rsidR="00C22541" w:rsidRDefault="00C22541" w:rsidP="00C22541">
      <w:pPr>
        <w:spacing w:after="0"/>
        <w:rPr>
          <w:rFonts w:ascii="Play" w:hAnsi="Play"/>
          <w:sz w:val="40"/>
          <w:lang w:val="ru-RU"/>
        </w:rPr>
      </w:pPr>
    </w:p>
    <w:p w:rsidR="00FA6BEC" w:rsidRDefault="00FA6BEC" w:rsidP="00C22541">
      <w:pPr>
        <w:spacing w:after="0"/>
        <w:rPr>
          <w:rFonts w:ascii="Play" w:hAnsi="Play"/>
          <w:sz w:val="40"/>
          <w:lang w:val="ru-RU"/>
        </w:rPr>
      </w:pPr>
    </w:p>
    <w:p w:rsidR="00FA6BEC" w:rsidRDefault="00FA6BEC" w:rsidP="00C22541">
      <w:pPr>
        <w:spacing w:after="0"/>
        <w:rPr>
          <w:rFonts w:ascii="Play" w:hAnsi="Play"/>
          <w:sz w:val="40"/>
          <w:lang w:val="ru-RU"/>
        </w:rPr>
      </w:pPr>
    </w:p>
    <w:p w:rsidR="00FD37A1" w:rsidRDefault="00FD37A1" w:rsidP="00183A1D">
      <w:pPr>
        <w:spacing w:after="0"/>
        <w:rPr>
          <w:rFonts w:ascii="Play" w:hAnsi="Play"/>
          <w:sz w:val="28"/>
          <w:lang w:val="ru-RU"/>
        </w:rPr>
      </w:pPr>
    </w:p>
    <w:p w:rsidR="00FD37A1" w:rsidRDefault="00183A1D" w:rsidP="00C22541">
      <w:pPr>
        <w:spacing w:after="0"/>
        <w:jc w:val="center"/>
        <w:rPr>
          <w:rFonts w:ascii="Play" w:hAnsi="Play"/>
          <w:sz w:val="28"/>
          <w:lang w:val="ru-RU"/>
        </w:rPr>
      </w:pPr>
      <w:r>
        <w:rPr>
          <w:rFonts w:ascii="Play" w:hAnsi="Play"/>
          <w:sz w:val="28"/>
          <w:lang w:val="ru-RU"/>
        </w:rPr>
        <w:t>Череповец</w:t>
      </w:r>
    </w:p>
    <w:p w:rsidR="00C22541" w:rsidRPr="00C22541" w:rsidRDefault="00C22541" w:rsidP="00C22541">
      <w:pPr>
        <w:spacing w:after="0"/>
        <w:jc w:val="center"/>
        <w:rPr>
          <w:rFonts w:ascii="Play" w:hAnsi="Play"/>
          <w:sz w:val="40"/>
          <w:lang w:val="ru-RU"/>
        </w:rPr>
      </w:pPr>
      <w:r w:rsidRPr="00C22541">
        <w:rPr>
          <w:rFonts w:ascii="Play" w:hAnsi="Play"/>
          <w:sz w:val="28"/>
          <w:lang w:val="ru-RU"/>
        </w:rPr>
        <w:t>2017</w:t>
      </w:r>
    </w:p>
    <w:p w:rsidR="00345C16" w:rsidRPr="00C22541" w:rsidRDefault="00345C16">
      <w:pPr>
        <w:rPr>
          <w:lang w:val="ru-RU"/>
        </w:rPr>
      </w:pPr>
    </w:p>
    <w:p w:rsidR="00345C16" w:rsidRPr="00C22541" w:rsidRDefault="00345C16">
      <w:pPr>
        <w:rPr>
          <w:lang w:val="ru-RU"/>
        </w:rPr>
      </w:pPr>
    </w:p>
    <w:p w:rsidR="00345C16" w:rsidRPr="00C22541" w:rsidRDefault="00345C16">
      <w:pPr>
        <w:rPr>
          <w:lang w:val="ru-RU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ru-RU"/>
        </w:rPr>
        <w:id w:val="-922644129"/>
        <w:docPartObj>
          <w:docPartGallery w:val="Table of Contents"/>
          <w:docPartUnique/>
        </w:docPartObj>
      </w:sdtPr>
      <w:sdtEndPr>
        <w:rPr>
          <w:b/>
          <w:bCs/>
          <w:lang w:val="en-US"/>
        </w:rPr>
      </w:sdtEndPr>
      <w:sdtContent>
        <w:p w:rsidR="004A6C40" w:rsidRPr="00FA6BEC" w:rsidRDefault="004A6C40" w:rsidP="00156F1D">
          <w:pPr>
            <w:pStyle w:val="af8"/>
            <w:spacing w:after="120"/>
            <w:rPr>
              <w:lang w:val="ru-RU"/>
            </w:rPr>
          </w:pPr>
          <w:r>
            <w:rPr>
              <w:lang w:val="ru-RU"/>
            </w:rPr>
            <w:t>Оглавление</w:t>
          </w:r>
        </w:p>
        <w:p w:rsidR="00B26561" w:rsidRDefault="00802ED2">
          <w:pPr>
            <w:pStyle w:val="23"/>
            <w:rPr>
              <w:rFonts w:cstheme="minorBidi"/>
              <w:noProof/>
            </w:rPr>
          </w:pPr>
          <w:r w:rsidRPr="00802ED2">
            <w:fldChar w:fldCharType="begin"/>
          </w:r>
          <w:r w:rsidR="004A6C40">
            <w:instrText xml:space="preserve"> TOC \o "1-3" \h \z \u </w:instrText>
          </w:r>
          <w:r w:rsidRPr="00802ED2">
            <w:fldChar w:fldCharType="separate"/>
          </w:r>
          <w:hyperlink w:anchor="_Toc487455544" w:history="1">
            <w:r w:rsidR="00B26561" w:rsidRPr="0014174D">
              <w:rPr>
                <w:rStyle w:val="afa"/>
                <w:noProof/>
              </w:rPr>
              <w:t>1.</w:t>
            </w:r>
            <w:r w:rsidR="00B26561">
              <w:rPr>
                <w:rFonts w:cstheme="minorBidi"/>
                <w:noProof/>
              </w:rPr>
              <w:tab/>
            </w:r>
            <w:r w:rsidR="00B26561" w:rsidRPr="0014174D">
              <w:rPr>
                <w:rStyle w:val="afa"/>
                <w:noProof/>
              </w:rPr>
              <w:t>Нормативная база</w:t>
            </w:r>
            <w:r w:rsidR="00B265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6561">
              <w:rPr>
                <w:noProof/>
                <w:webHidden/>
              </w:rPr>
              <w:instrText xml:space="preserve"> PAGEREF _Toc487455544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61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561" w:rsidRDefault="00802ED2">
          <w:pPr>
            <w:pStyle w:val="23"/>
            <w:rPr>
              <w:rFonts w:cstheme="minorBidi"/>
              <w:noProof/>
            </w:rPr>
          </w:pPr>
          <w:hyperlink w:anchor="_Toc487455545" w:history="1">
            <w:r w:rsidR="00B26561" w:rsidRPr="0014174D">
              <w:rPr>
                <w:rStyle w:val="afa"/>
                <w:noProof/>
              </w:rPr>
              <w:t>2.</w:t>
            </w:r>
            <w:r w:rsidR="00B26561">
              <w:rPr>
                <w:rFonts w:cstheme="minorBidi"/>
                <w:noProof/>
              </w:rPr>
              <w:tab/>
            </w:r>
            <w:r w:rsidR="00B26561" w:rsidRPr="0014174D">
              <w:rPr>
                <w:rStyle w:val="afa"/>
                <w:noProof/>
              </w:rPr>
              <w:t>Цель и общая методика</w:t>
            </w:r>
            <w:r w:rsidR="00B265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6561">
              <w:rPr>
                <w:noProof/>
                <w:webHidden/>
              </w:rPr>
              <w:instrText xml:space="preserve"> PAGEREF _Toc487455545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61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561" w:rsidRDefault="00802ED2">
          <w:pPr>
            <w:pStyle w:val="23"/>
            <w:rPr>
              <w:rFonts w:cstheme="minorBidi"/>
              <w:noProof/>
            </w:rPr>
          </w:pPr>
          <w:hyperlink w:anchor="_Toc487455546" w:history="1">
            <w:r w:rsidR="00B26561" w:rsidRPr="0014174D">
              <w:rPr>
                <w:rStyle w:val="afa"/>
                <w:noProof/>
              </w:rPr>
              <w:t>3.</w:t>
            </w:r>
            <w:r w:rsidR="00B26561">
              <w:rPr>
                <w:rFonts w:cstheme="minorBidi"/>
                <w:noProof/>
              </w:rPr>
              <w:tab/>
            </w:r>
            <w:r w:rsidR="00B26561" w:rsidRPr="0014174D">
              <w:rPr>
                <w:rStyle w:val="afa"/>
                <w:noProof/>
              </w:rPr>
              <w:t>Область распространения</w:t>
            </w:r>
            <w:r w:rsidR="00B265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6561">
              <w:rPr>
                <w:noProof/>
                <w:webHidden/>
              </w:rPr>
              <w:instrText xml:space="preserve"> PAGEREF _Toc487455546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61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561" w:rsidRDefault="00802ED2">
          <w:pPr>
            <w:pStyle w:val="23"/>
            <w:rPr>
              <w:rFonts w:cstheme="minorBidi"/>
              <w:noProof/>
            </w:rPr>
          </w:pPr>
          <w:hyperlink w:anchor="_Toc487455547" w:history="1">
            <w:r w:rsidR="00B26561" w:rsidRPr="0014174D">
              <w:rPr>
                <w:rStyle w:val="afa"/>
                <w:noProof/>
              </w:rPr>
              <w:t>4.</w:t>
            </w:r>
            <w:r w:rsidR="00B26561">
              <w:rPr>
                <w:rFonts w:cstheme="minorBidi"/>
                <w:noProof/>
              </w:rPr>
              <w:tab/>
            </w:r>
            <w:r w:rsidR="00B26561" w:rsidRPr="0014174D">
              <w:rPr>
                <w:rStyle w:val="afa"/>
                <w:noProof/>
              </w:rPr>
              <w:t>Оценка рисков (3)</w:t>
            </w:r>
            <w:r w:rsidR="00B265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6561">
              <w:rPr>
                <w:noProof/>
                <w:webHidden/>
              </w:rPr>
              <w:instrText xml:space="preserve"> PAGEREF _Toc487455547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61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561" w:rsidRDefault="00802ED2">
          <w:pPr>
            <w:pStyle w:val="23"/>
            <w:rPr>
              <w:rFonts w:cstheme="minorBidi"/>
              <w:noProof/>
            </w:rPr>
          </w:pPr>
          <w:hyperlink w:anchor="_Toc487455548" w:history="1">
            <w:r w:rsidR="00B26561" w:rsidRPr="0014174D">
              <w:rPr>
                <w:rStyle w:val="afa"/>
                <w:noProof/>
              </w:rPr>
              <w:t>5.</w:t>
            </w:r>
            <w:r w:rsidR="00B26561">
              <w:rPr>
                <w:rFonts w:cstheme="minorBidi"/>
                <w:noProof/>
              </w:rPr>
              <w:tab/>
            </w:r>
            <w:r w:rsidR="00B26561" w:rsidRPr="0014174D">
              <w:rPr>
                <w:rStyle w:val="afa"/>
                <w:noProof/>
              </w:rPr>
              <w:t>Система отбора и контроля поставщиков</w:t>
            </w:r>
            <w:r w:rsidR="00B265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6561">
              <w:rPr>
                <w:noProof/>
                <w:webHidden/>
              </w:rPr>
              <w:instrText xml:space="preserve"> PAGEREF _Toc487455548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61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561" w:rsidRDefault="00802ED2">
          <w:pPr>
            <w:pStyle w:val="23"/>
            <w:rPr>
              <w:rFonts w:cstheme="minorBidi"/>
              <w:noProof/>
            </w:rPr>
          </w:pPr>
          <w:hyperlink w:anchor="_Toc487455549" w:history="1">
            <w:r w:rsidR="00B26561" w:rsidRPr="0014174D">
              <w:rPr>
                <w:rStyle w:val="afa"/>
                <w:noProof/>
              </w:rPr>
              <w:t>6.</w:t>
            </w:r>
            <w:r w:rsidR="00B26561">
              <w:rPr>
                <w:rFonts w:cstheme="minorBidi"/>
                <w:noProof/>
              </w:rPr>
              <w:tab/>
            </w:r>
            <w:r w:rsidR="00B26561" w:rsidRPr="0014174D">
              <w:rPr>
                <w:rStyle w:val="afa"/>
                <w:noProof/>
              </w:rPr>
              <w:t>Требование к договорам поставки (общая контрольная мера)</w:t>
            </w:r>
            <w:r w:rsidR="00B265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6561">
              <w:rPr>
                <w:noProof/>
                <w:webHidden/>
              </w:rPr>
              <w:instrText xml:space="preserve"> PAGEREF _Toc487455549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61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561" w:rsidRDefault="00802ED2">
          <w:pPr>
            <w:pStyle w:val="23"/>
            <w:rPr>
              <w:rFonts w:cstheme="minorBidi"/>
              <w:noProof/>
            </w:rPr>
          </w:pPr>
          <w:hyperlink w:anchor="_Toc487455550" w:history="1">
            <w:r w:rsidR="00B26561" w:rsidRPr="0014174D">
              <w:rPr>
                <w:rStyle w:val="afa"/>
                <w:noProof/>
              </w:rPr>
              <w:t>7.</w:t>
            </w:r>
            <w:r w:rsidR="00B26561">
              <w:rPr>
                <w:rFonts w:cstheme="minorBidi"/>
                <w:noProof/>
              </w:rPr>
              <w:tab/>
            </w:r>
            <w:r w:rsidR="00B26561" w:rsidRPr="0014174D">
              <w:rPr>
                <w:rStyle w:val="afa"/>
                <w:noProof/>
              </w:rPr>
              <w:t>Действия предприятия по выполнению частных контрольных мер</w:t>
            </w:r>
            <w:r w:rsidR="00B265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6561">
              <w:rPr>
                <w:noProof/>
                <w:webHidden/>
              </w:rPr>
              <w:instrText xml:space="preserve"> PAGEREF _Toc487455550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61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561" w:rsidRDefault="00802ED2">
          <w:pPr>
            <w:pStyle w:val="23"/>
            <w:rPr>
              <w:rFonts w:cstheme="minorBidi"/>
              <w:noProof/>
            </w:rPr>
          </w:pPr>
          <w:hyperlink w:anchor="_Toc487455551" w:history="1">
            <w:r w:rsidR="00B26561" w:rsidRPr="0014174D">
              <w:rPr>
                <w:rStyle w:val="afa"/>
                <w:noProof/>
              </w:rPr>
              <w:t>8.</w:t>
            </w:r>
            <w:r w:rsidR="00B26561">
              <w:rPr>
                <w:rFonts w:cstheme="minorBidi"/>
                <w:noProof/>
              </w:rPr>
              <w:tab/>
            </w:r>
            <w:r w:rsidR="00B26561" w:rsidRPr="0014174D">
              <w:rPr>
                <w:rStyle w:val="afa"/>
                <w:noProof/>
              </w:rPr>
              <w:t>Полевые проверки поставщиков (общая контрольная мера)</w:t>
            </w:r>
            <w:r w:rsidR="00B265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6561">
              <w:rPr>
                <w:noProof/>
                <w:webHidden/>
              </w:rPr>
              <w:instrText xml:space="preserve"> PAGEREF _Toc487455551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61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561" w:rsidRDefault="00802ED2">
          <w:pPr>
            <w:pStyle w:val="23"/>
            <w:rPr>
              <w:rFonts w:cstheme="minorBidi"/>
              <w:noProof/>
            </w:rPr>
          </w:pPr>
          <w:hyperlink w:anchor="_Toc487455552" w:history="1">
            <w:r w:rsidR="00B26561" w:rsidRPr="0014174D">
              <w:rPr>
                <w:rStyle w:val="afa"/>
                <w:noProof/>
              </w:rPr>
              <w:t>9.</w:t>
            </w:r>
            <w:r w:rsidR="00B26561">
              <w:rPr>
                <w:rFonts w:cstheme="minorBidi"/>
                <w:noProof/>
              </w:rPr>
              <w:tab/>
            </w:r>
            <w:r w:rsidR="00B26561" w:rsidRPr="0014174D">
              <w:rPr>
                <w:rStyle w:val="afa"/>
                <w:noProof/>
              </w:rPr>
              <w:t>Консультации с заинтересованными сторонами (общая контрольная мера)</w:t>
            </w:r>
            <w:r w:rsidR="00B265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6561">
              <w:rPr>
                <w:noProof/>
                <w:webHidden/>
              </w:rPr>
              <w:instrText xml:space="preserve"> PAGEREF _Toc487455552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61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6561" w:rsidRDefault="00802ED2">
          <w:pPr>
            <w:pStyle w:val="23"/>
            <w:tabs>
              <w:tab w:val="left" w:pos="1100"/>
            </w:tabs>
            <w:rPr>
              <w:rFonts w:cstheme="minorBidi"/>
              <w:noProof/>
            </w:rPr>
          </w:pPr>
          <w:hyperlink w:anchor="_Toc487455553" w:history="1">
            <w:r w:rsidR="00B26561" w:rsidRPr="0014174D">
              <w:rPr>
                <w:rStyle w:val="afa"/>
                <w:noProof/>
              </w:rPr>
              <w:t>10.</w:t>
            </w:r>
            <w:r w:rsidR="00B26561">
              <w:rPr>
                <w:rFonts w:cstheme="minorBidi"/>
                <w:noProof/>
              </w:rPr>
              <w:tab/>
            </w:r>
            <w:r w:rsidR="00B26561" w:rsidRPr="0014174D">
              <w:rPr>
                <w:rStyle w:val="afa"/>
                <w:noProof/>
              </w:rPr>
              <w:t>Внутренняя проверка DDS</w:t>
            </w:r>
            <w:r w:rsidR="00B265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6561">
              <w:rPr>
                <w:noProof/>
                <w:webHidden/>
              </w:rPr>
              <w:instrText xml:space="preserve"> PAGEREF _Toc487455553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461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6C40" w:rsidRDefault="00802ED2">
          <w:r>
            <w:rPr>
              <w:b/>
              <w:bCs/>
            </w:rPr>
            <w:fldChar w:fldCharType="end"/>
          </w:r>
        </w:p>
      </w:sdtContent>
    </w:sdt>
    <w:p w:rsidR="00EC0D95" w:rsidRDefault="00EC0D95">
      <w:pPr>
        <w:rPr>
          <w:lang w:val="ru-RU"/>
        </w:rPr>
      </w:pPr>
    </w:p>
    <w:p w:rsidR="00345C16" w:rsidRDefault="00C22541">
      <w:pPr>
        <w:rPr>
          <w:lang w:val="ru-RU"/>
        </w:rPr>
      </w:pPr>
      <w:r>
        <w:rPr>
          <w:lang w:val="ru-RU"/>
        </w:rPr>
        <w:br w:type="page"/>
      </w:r>
    </w:p>
    <w:p w:rsidR="00B87564" w:rsidRDefault="00B87564" w:rsidP="004A6C40">
      <w:pPr>
        <w:pStyle w:val="2"/>
        <w:numPr>
          <w:ilvl w:val="0"/>
          <w:numId w:val="3"/>
        </w:numPr>
        <w:rPr>
          <w:lang w:val="ru-RU"/>
        </w:rPr>
      </w:pPr>
      <w:bookmarkStart w:id="0" w:name="_Toc487455544"/>
      <w:r>
        <w:rPr>
          <w:lang w:val="ru-RU"/>
        </w:rPr>
        <w:lastRenderedPageBreak/>
        <w:t>Нормативная база</w:t>
      </w:r>
      <w:bookmarkEnd w:id="0"/>
    </w:p>
    <w:p w:rsidR="00B87564" w:rsidRPr="00B87564" w:rsidRDefault="00B87564" w:rsidP="00B87564">
      <w:pPr>
        <w:rPr>
          <w:lang w:val="ru-RU"/>
        </w:rPr>
      </w:pPr>
      <w:r>
        <w:rPr>
          <w:lang w:val="ru-RU"/>
        </w:rPr>
        <w:t xml:space="preserve">Стандарты, на которые ссылается </w:t>
      </w:r>
      <w:r w:rsidR="003B171E">
        <w:rPr>
          <w:lang w:val="ru-RU"/>
        </w:rPr>
        <w:t xml:space="preserve"> </w:t>
      </w:r>
      <w:r>
        <w:rPr>
          <w:lang w:val="ru-RU"/>
        </w:rPr>
        <w:t xml:space="preserve">настоящая </w:t>
      </w:r>
      <w:r>
        <w:t>DDS</w:t>
      </w:r>
    </w:p>
    <w:tbl>
      <w:tblPr>
        <w:tblStyle w:val="af9"/>
        <w:tblW w:w="0" w:type="auto"/>
        <w:tblBorders>
          <w:top w:val="single" w:sz="4" w:space="0" w:color="FF7EFF" w:themeColor="background1" w:themeShade="BF"/>
          <w:left w:val="single" w:sz="4" w:space="0" w:color="FF7EFF" w:themeColor="background1" w:themeShade="BF"/>
          <w:bottom w:val="single" w:sz="4" w:space="0" w:color="FF7EFF" w:themeColor="background1" w:themeShade="BF"/>
          <w:right w:val="single" w:sz="4" w:space="0" w:color="FF7EFF" w:themeColor="background1" w:themeShade="BF"/>
          <w:insideH w:val="single" w:sz="4" w:space="0" w:color="FF7EFF" w:themeColor="background1" w:themeShade="BF"/>
          <w:insideV w:val="single" w:sz="4" w:space="0" w:color="FF7EFF" w:themeColor="background1" w:themeShade="BF"/>
        </w:tblBorders>
        <w:tblCellMar>
          <w:top w:w="57" w:type="dxa"/>
          <w:bottom w:w="57" w:type="dxa"/>
        </w:tblCellMar>
        <w:tblLook w:val="04A0"/>
      </w:tblPr>
      <w:tblGrid>
        <w:gridCol w:w="2547"/>
        <w:gridCol w:w="6470"/>
      </w:tblGrid>
      <w:tr w:rsidR="00B87564" w:rsidRPr="00C75E94" w:rsidTr="007D28E9">
        <w:tc>
          <w:tcPr>
            <w:tcW w:w="2547" w:type="dxa"/>
          </w:tcPr>
          <w:p w:rsidR="0082165D" w:rsidRDefault="00B87564" w:rsidP="00B87564">
            <w:pPr>
              <w:rPr>
                <w:b/>
                <w:lang w:val="ru-RU"/>
              </w:rPr>
            </w:pPr>
            <w:r w:rsidRPr="00A57F9F">
              <w:rPr>
                <w:b/>
              </w:rPr>
              <w:t>FSC</w:t>
            </w:r>
            <w:r w:rsidRPr="00A57F9F">
              <w:rPr>
                <w:b/>
                <w:lang w:val="ru-RU"/>
              </w:rPr>
              <w:t>-</w:t>
            </w:r>
            <w:r w:rsidRPr="00A57F9F">
              <w:rPr>
                <w:b/>
              </w:rPr>
              <w:t>STD</w:t>
            </w:r>
            <w:r w:rsidRPr="00A57F9F">
              <w:rPr>
                <w:b/>
                <w:lang w:val="ru-RU"/>
              </w:rPr>
              <w:t xml:space="preserve">-40-005 </w:t>
            </w:r>
          </w:p>
          <w:p w:rsidR="00B87564" w:rsidRPr="00C24BE9" w:rsidRDefault="00B87564" w:rsidP="00B87564">
            <w:pPr>
              <w:rPr>
                <w:lang w:val="ru-RU"/>
              </w:rPr>
            </w:pPr>
            <w:r w:rsidRPr="00C24BE9">
              <w:t>V</w:t>
            </w:r>
            <w:r w:rsidR="00A30393" w:rsidRPr="00C24BE9">
              <w:rPr>
                <w:lang w:val="ru-RU"/>
              </w:rPr>
              <w:t>3-1</w:t>
            </w:r>
          </w:p>
        </w:tc>
        <w:tc>
          <w:tcPr>
            <w:tcW w:w="6470" w:type="dxa"/>
          </w:tcPr>
          <w:p w:rsidR="00B87564" w:rsidRPr="00B87564" w:rsidRDefault="00B87564" w:rsidP="00B87564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B87564">
              <w:rPr>
                <w:lang w:val="ru-RU"/>
              </w:rPr>
              <w:t>облюдения требований к закупкам FSC-контролируемой древ</w:t>
            </w:r>
            <w:r w:rsidRPr="00B87564">
              <w:rPr>
                <w:lang w:val="ru-RU"/>
              </w:rPr>
              <w:t>е</w:t>
            </w:r>
            <w:r w:rsidRPr="00B87564">
              <w:rPr>
                <w:lang w:val="ru-RU"/>
              </w:rPr>
              <w:t>сины</w:t>
            </w:r>
            <w:r w:rsidR="0098406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далее по тексту «Стандарт»</w:t>
            </w:r>
          </w:p>
        </w:tc>
      </w:tr>
      <w:tr w:rsidR="00270AB5" w:rsidRPr="00C75E94" w:rsidTr="007D28E9">
        <w:tc>
          <w:tcPr>
            <w:tcW w:w="2547" w:type="dxa"/>
          </w:tcPr>
          <w:p w:rsidR="00270AB5" w:rsidRDefault="00270AB5" w:rsidP="00B87564">
            <w:pPr>
              <w:rPr>
                <w:b/>
                <w:lang w:val="ru-RU"/>
              </w:rPr>
            </w:pPr>
            <w:r w:rsidRPr="00270AB5">
              <w:rPr>
                <w:b/>
                <w:lang w:val="ru-RU"/>
              </w:rPr>
              <w:t>FSC-DIR-40-005</w:t>
            </w:r>
          </w:p>
          <w:p w:rsidR="00270AB5" w:rsidRPr="00270AB5" w:rsidRDefault="00270AB5" w:rsidP="00B87564">
            <w:pPr>
              <w:rPr>
                <w:lang w:val="ru-RU"/>
              </w:rPr>
            </w:pPr>
            <w:r w:rsidRPr="00270AB5">
              <w:rPr>
                <w:lang w:val="ru-RU"/>
              </w:rPr>
              <w:t>актуальной даты</w:t>
            </w:r>
          </w:p>
        </w:tc>
        <w:tc>
          <w:tcPr>
            <w:tcW w:w="6470" w:type="dxa"/>
          </w:tcPr>
          <w:p w:rsidR="00270AB5" w:rsidRDefault="00270AB5" w:rsidP="00270AB5">
            <w:pPr>
              <w:rPr>
                <w:lang w:val="ru-RU"/>
              </w:rPr>
            </w:pPr>
            <w:r>
              <w:rPr>
                <w:lang w:val="ru-RU"/>
              </w:rPr>
              <w:t xml:space="preserve">Директива FSC по </w:t>
            </w:r>
            <w:r w:rsidRPr="00270AB5">
              <w:rPr>
                <w:lang w:val="ru-RU"/>
              </w:rPr>
              <w:t>контролируемой древесине</w:t>
            </w:r>
          </w:p>
        </w:tc>
      </w:tr>
      <w:tr w:rsidR="00F90217" w:rsidRPr="00C75E94" w:rsidTr="007D28E9">
        <w:tc>
          <w:tcPr>
            <w:tcW w:w="2547" w:type="dxa"/>
          </w:tcPr>
          <w:p w:rsidR="0082165D" w:rsidRDefault="0098406C" w:rsidP="00B87564">
            <w:pPr>
              <w:rPr>
                <w:b/>
              </w:rPr>
            </w:pPr>
            <w:r w:rsidRPr="002F0318">
              <w:rPr>
                <w:b/>
              </w:rPr>
              <w:t xml:space="preserve">FSC-CW-RA-015-RU </w:t>
            </w:r>
          </w:p>
          <w:p w:rsidR="00F90217" w:rsidRPr="00C24BE9" w:rsidRDefault="0098406C" w:rsidP="00B87564">
            <w:r w:rsidRPr="00C24BE9">
              <w:t>V2-0</w:t>
            </w:r>
          </w:p>
        </w:tc>
        <w:tc>
          <w:tcPr>
            <w:tcW w:w="6470" w:type="dxa"/>
          </w:tcPr>
          <w:p w:rsidR="00F90217" w:rsidRPr="0098406C" w:rsidRDefault="0098406C" w:rsidP="00B87564">
            <w:pPr>
              <w:rPr>
                <w:lang w:val="ru-RU"/>
              </w:rPr>
            </w:pPr>
            <w:r w:rsidRPr="0098406C">
              <w:rPr>
                <w:lang w:val="ru-RU"/>
              </w:rPr>
              <w:t>Национальная оценка рисков в отношении контролируемой др</w:t>
            </w:r>
            <w:r w:rsidRPr="0098406C">
              <w:rPr>
                <w:lang w:val="ru-RU"/>
              </w:rPr>
              <w:t>е</w:t>
            </w:r>
            <w:r w:rsidRPr="0098406C">
              <w:rPr>
                <w:lang w:val="ru-RU"/>
              </w:rPr>
              <w:t xml:space="preserve">весины Лесного </w:t>
            </w:r>
            <w:r w:rsidR="003B171E">
              <w:rPr>
                <w:lang w:val="ru-RU"/>
              </w:rPr>
              <w:t xml:space="preserve"> </w:t>
            </w:r>
            <w:r w:rsidRPr="0098406C">
              <w:rPr>
                <w:lang w:val="ru-RU"/>
              </w:rPr>
              <w:t xml:space="preserve">попечительского </w:t>
            </w:r>
            <w:r w:rsidR="003B171E">
              <w:rPr>
                <w:lang w:val="ru-RU"/>
              </w:rPr>
              <w:t xml:space="preserve"> </w:t>
            </w:r>
            <w:r w:rsidRPr="0098406C">
              <w:rPr>
                <w:lang w:val="ru-RU"/>
              </w:rPr>
              <w:t>совета</w:t>
            </w:r>
          </w:p>
        </w:tc>
      </w:tr>
    </w:tbl>
    <w:p w:rsidR="0006129B" w:rsidRPr="0098406C" w:rsidRDefault="0006129B" w:rsidP="00E978BF">
      <w:pPr>
        <w:rPr>
          <w:lang w:val="ru-RU"/>
        </w:rPr>
      </w:pPr>
    </w:p>
    <w:p w:rsidR="0006129B" w:rsidRPr="00270AB5" w:rsidRDefault="00A30393" w:rsidP="0006129B">
      <w:pPr>
        <w:pStyle w:val="afb"/>
        <w:numPr>
          <w:ilvl w:val="1"/>
          <w:numId w:val="28"/>
        </w:numPr>
        <w:rPr>
          <w:lang w:val="ru-RU"/>
        </w:rPr>
      </w:pPr>
      <w:r w:rsidRPr="0006129B">
        <w:rPr>
          <w:lang w:val="ru-RU"/>
        </w:rPr>
        <w:t xml:space="preserve">после определенной статьи настоящего руководства означает, что пункт стандарта 1.1 выполняется статьёй в которой стоит </w:t>
      </w:r>
      <w:r w:rsidR="003B171E">
        <w:rPr>
          <w:lang w:val="ru-RU"/>
        </w:rPr>
        <w:t xml:space="preserve"> </w:t>
      </w:r>
      <w:r w:rsidRPr="0006129B">
        <w:rPr>
          <w:lang w:val="ru-RU"/>
        </w:rPr>
        <w:t xml:space="preserve">соответствующее упоминание. </w:t>
      </w:r>
    </w:p>
    <w:p w:rsidR="007D28E9" w:rsidRDefault="007D28E9" w:rsidP="00270AB5">
      <w:pPr>
        <w:spacing w:before="240" w:after="120"/>
      </w:pPr>
      <w:r>
        <w:rPr>
          <w:lang w:val="ru-RU"/>
        </w:rPr>
        <w:t xml:space="preserve">Структура </w:t>
      </w:r>
      <w:r>
        <w:t>DDS</w:t>
      </w:r>
    </w:p>
    <w:tbl>
      <w:tblPr>
        <w:tblStyle w:val="af9"/>
        <w:tblW w:w="0" w:type="auto"/>
        <w:tblBorders>
          <w:top w:val="single" w:sz="4" w:space="0" w:color="FF7EFF" w:themeColor="background1" w:themeShade="BF"/>
          <w:left w:val="single" w:sz="4" w:space="0" w:color="FF7EFF" w:themeColor="background1" w:themeShade="BF"/>
          <w:bottom w:val="single" w:sz="4" w:space="0" w:color="FF7EFF" w:themeColor="background1" w:themeShade="BF"/>
          <w:right w:val="single" w:sz="4" w:space="0" w:color="FF7EFF" w:themeColor="background1" w:themeShade="BF"/>
          <w:insideH w:val="single" w:sz="4" w:space="0" w:color="FF7EFF" w:themeColor="background1" w:themeShade="BF"/>
          <w:insideV w:val="single" w:sz="4" w:space="0" w:color="FF7EFF" w:themeColor="background1" w:themeShade="BF"/>
        </w:tblBorders>
        <w:tblCellMar>
          <w:top w:w="57" w:type="dxa"/>
          <w:bottom w:w="57" w:type="dxa"/>
        </w:tblCellMar>
        <w:tblLook w:val="04A0"/>
      </w:tblPr>
      <w:tblGrid>
        <w:gridCol w:w="2547"/>
        <w:gridCol w:w="6470"/>
      </w:tblGrid>
      <w:tr w:rsidR="00F56FD2" w:rsidRPr="00F56FD2" w:rsidTr="007D28E9">
        <w:tc>
          <w:tcPr>
            <w:tcW w:w="2547" w:type="dxa"/>
          </w:tcPr>
          <w:p w:rsidR="00F56FD2" w:rsidRPr="0082165D" w:rsidRDefault="00F56FD2" w:rsidP="00F56FD2">
            <w:pPr>
              <w:rPr>
                <w:b/>
              </w:rPr>
            </w:pPr>
            <w:r w:rsidRPr="0082165D">
              <w:rPr>
                <w:b/>
              </w:rPr>
              <w:t>DDS-CFMK-CW</w:t>
            </w:r>
          </w:p>
        </w:tc>
        <w:tc>
          <w:tcPr>
            <w:tcW w:w="6470" w:type="dxa"/>
          </w:tcPr>
          <w:p w:rsidR="00F56FD2" w:rsidRDefault="00F56FD2" w:rsidP="00F56FD2">
            <w:pPr>
              <w:rPr>
                <w:lang w:val="ru-RU"/>
              </w:rPr>
            </w:pPr>
            <w:r w:rsidRPr="0082165D">
              <w:rPr>
                <w:lang w:val="ru-RU"/>
              </w:rPr>
              <w:t>Система</w:t>
            </w:r>
            <w:r>
              <w:rPr>
                <w:lang w:val="ru-RU"/>
              </w:rPr>
              <w:t xml:space="preserve"> должной добросовестности (</w:t>
            </w:r>
            <w:r>
              <w:t>Due</w:t>
            </w:r>
            <w:r w:rsidR="003B171E">
              <w:rPr>
                <w:lang w:val="ru-RU"/>
              </w:rPr>
              <w:t xml:space="preserve"> </w:t>
            </w:r>
            <w:r>
              <w:t>Diligence</w:t>
            </w:r>
            <w:r w:rsidR="003B171E">
              <w:rPr>
                <w:lang w:val="ru-RU"/>
              </w:rPr>
              <w:t xml:space="preserve"> </w:t>
            </w:r>
            <w:r>
              <w:t>System</w:t>
            </w:r>
            <w:r w:rsidRPr="0082165D">
              <w:rPr>
                <w:lang w:val="ru-RU"/>
              </w:rPr>
              <w:t xml:space="preserve"> - </w:t>
            </w:r>
            <w:r>
              <w:rPr>
                <w:lang w:val="ru-RU"/>
              </w:rPr>
              <w:t xml:space="preserve">DDS) </w:t>
            </w:r>
            <w:r w:rsidRPr="0082165D">
              <w:rPr>
                <w:lang w:val="ru-RU"/>
              </w:rPr>
              <w:t>для со</w:t>
            </w:r>
            <w:r>
              <w:rPr>
                <w:lang w:val="ru-RU"/>
              </w:rPr>
              <w:t xml:space="preserve">блюдения требований к закупкам </w:t>
            </w:r>
            <w:r w:rsidRPr="0082165D">
              <w:rPr>
                <w:lang w:val="ru-RU"/>
              </w:rPr>
              <w:t>FSC-контролируемой древесины</w:t>
            </w:r>
          </w:p>
          <w:p w:rsidR="00F56FD2" w:rsidRPr="0082165D" w:rsidRDefault="00F56FD2" w:rsidP="00F56FD2">
            <w:pPr>
              <w:rPr>
                <w:lang w:val="ru-RU"/>
              </w:rPr>
            </w:pPr>
            <w:r w:rsidRPr="005943A9">
              <w:rPr>
                <w:color w:val="00B0F0"/>
                <w:lang w:val="ru-RU"/>
              </w:rPr>
              <w:t>(публичный документ)</w:t>
            </w:r>
          </w:p>
        </w:tc>
      </w:tr>
      <w:tr w:rsidR="00F56FD2" w:rsidRPr="00C75E94" w:rsidTr="007D28E9">
        <w:tc>
          <w:tcPr>
            <w:tcW w:w="2547" w:type="dxa"/>
          </w:tcPr>
          <w:p w:rsidR="00F56FD2" w:rsidRPr="0082165D" w:rsidRDefault="00F56FD2" w:rsidP="00F56FD2">
            <w:pPr>
              <w:rPr>
                <w:lang w:val="ru-RU"/>
              </w:rPr>
            </w:pPr>
            <w:r w:rsidRPr="0082165D">
              <w:rPr>
                <w:b/>
              </w:rPr>
              <w:t>ANNEX</w:t>
            </w:r>
            <w:r w:rsidRPr="0082165D">
              <w:rPr>
                <w:b/>
                <w:lang w:val="ru-RU"/>
              </w:rPr>
              <w:t>-1-</w:t>
            </w:r>
            <w:r w:rsidRPr="0082165D">
              <w:rPr>
                <w:b/>
              </w:rPr>
              <w:t>DDS</w:t>
            </w:r>
            <w:r w:rsidRPr="0082165D">
              <w:rPr>
                <w:b/>
                <w:lang w:val="ru-RU"/>
              </w:rPr>
              <w:t>-</w:t>
            </w:r>
            <w:r w:rsidRPr="0082165D">
              <w:rPr>
                <w:b/>
              </w:rPr>
              <w:t>CFMK</w:t>
            </w:r>
            <w:r w:rsidRPr="0082165D">
              <w:rPr>
                <w:b/>
                <w:lang w:val="ru-RU"/>
              </w:rPr>
              <w:t>-</w:t>
            </w:r>
            <w:r w:rsidRPr="0082165D">
              <w:rPr>
                <w:b/>
              </w:rPr>
              <w:t>CW</w:t>
            </w:r>
          </w:p>
        </w:tc>
        <w:tc>
          <w:tcPr>
            <w:tcW w:w="6470" w:type="dxa"/>
          </w:tcPr>
          <w:p w:rsidR="00F56FD2" w:rsidRDefault="00F56FD2" w:rsidP="00F56FD2">
            <w:pPr>
              <w:rPr>
                <w:lang w:val="ru-RU"/>
              </w:rPr>
            </w:pPr>
            <w:r>
              <w:rPr>
                <w:lang w:val="ru-RU"/>
              </w:rPr>
              <w:t xml:space="preserve">Оценка риска и контрольные меры </w:t>
            </w:r>
          </w:p>
          <w:p w:rsidR="00F56FD2" w:rsidRPr="0082165D" w:rsidRDefault="00F56FD2" w:rsidP="00F56FD2">
            <w:pPr>
              <w:rPr>
                <w:lang w:val="ru-RU"/>
              </w:rPr>
            </w:pPr>
            <w:r w:rsidRPr="005943A9">
              <w:rPr>
                <w:color w:val="00B0F0"/>
                <w:lang w:val="ru-RU"/>
              </w:rPr>
              <w:t>(публичный документ)</w:t>
            </w:r>
          </w:p>
        </w:tc>
      </w:tr>
      <w:tr w:rsidR="00F56FD2" w:rsidRPr="00F56FD2" w:rsidTr="007D28E9">
        <w:tc>
          <w:tcPr>
            <w:tcW w:w="2547" w:type="dxa"/>
          </w:tcPr>
          <w:p w:rsidR="00F56FD2" w:rsidRPr="0082165D" w:rsidRDefault="00F56FD2" w:rsidP="00F56FD2">
            <w:pPr>
              <w:rPr>
                <w:lang w:val="ru-RU"/>
              </w:rPr>
            </w:pPr>
            <w:r w:rsidRPr="0082165D">
              <w:rPr>
                <w:b/>
              </w:rPr>
              <w:t>ANNEX</w:t>
            </w:r>
            <w:r w:rsidRPr="0082165D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2</w:t>
            </w:r>
            <w:r w:rsidRPr="0082165D">
              <w:rPr>
                <w:b/>
                <w:lang w:val="ru-RU"/>
              </w:rPr>
              <w:t>-</w:t>
            </w:r>
            <w:r w:rsidRPr="0082165D">
              <w:rPr>
                <w:b/>
              </w:rPr>
              <w:t>DDS</w:t>
            </w:r>
            <w:r w:rsidRPr="0082165D">
              <w:rPr>
                <w:b/>
                <w:lang w:val="ru-RU"/>
              </w:rPr>
              <w:t>-</w:t>
            </w:r>
            <w:r w:rsidRPr="0082165D">
              <w:rPr>
                <w:b/>
              </w:rPr>
              <w:t>CFMK</w:t>
            </w:r>
            <w:r w:rsidRPr="0082165D">
              <w:rPr>
                <w:b/>
                <w:lang w:val="ru-RU"/>
              </w:rPr>
              <w:t>-</w:t>
            </w:r>
            <w:r w:rsidRPr="0082165D">
              <w:rPr>
                <w:b/>
              </w:rPr>
              <w:t>CW</w:t>
            </w:r>
          </w:p>
        </w:tc>
        <w:tc>
          <w:tcPr>
            <w:tcW w:w="6470" w:type="dxa"/>
          </w:tcPr>
          <w:p w:rsidR="00F56FD2" w:rsidRPr="0082165D" w:rsidRDefault="00F56FD2" w:rsidP="00F56FD2">
            <w:pPr>
              <w:rPr>
                <w:lang w:val="ru-RU"/>
              </w:rPr>
            </w:pPr>
            <w:r>
              <w:rPr>
                <w:lang w:val="ru-RU"/>
              </w:rPr>
              <w:t>Приложение №2 к договору поставки</w:t>
            </w:r>
          </w:p>
        </w:tc>
      </w:tr>
      <w:tr w:rsidR="00F56FD2" w:rsidRPr="00C75E94" w:rsidTr="007D28E9">
        <w:tc>
          <w:tcPr>
            <w:tcW w:w="2547" w:type="dxa"/>
          </w:tcPr>
          <w:p w:rsidR="00F56FD2" w:rsidRPr="0082165D" w:rsidRDefault="00F56FD2" w:rsidP="00F56FD2">
            <w:pPr>
              <w:rPr>
                <w:lang w:val="ru-RU"/>
              </w:rPr>
            </w:pPr>
            <w:r w:rsidRPr="0082165D">
              <w:rPr>
                <w:b/>
              </w:rPr>
              <w:t>ANNEX</w:t>
            </w:r>
            <w:r w:rsidRPr="0082165D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3</w:t>
            </w:r>
            <w:r w:rsidRPr="0082165D">
              <w:rPr>
                <w:b/>
                <w:lang w:val="ru-RU"/>
              </w:rPr>
              <w:t>-</w:t>
            </w:r>
            <w:r w:rsidRPr="0082165D">
              <w:rPr>
                <w:b/>
              </w:rPr>
              <w:t>DDS</w:t>
            </w:r>
            <w:r w:rsidRPr="0082165D">
              <w:rPr>
                <w:b/>
                <w:lang w:val="ru-RU"/>
              </w:rPr>
              <w:t>-</w:t>
            </w:r>
            <w:r w:rsidRPr="0082165D">
              <w:rPr>
                <w:b/>
              </w:rPr>
              <w:t>CFMK</w:t>
            </w:r>
            <w:r w:rsidRPr="0082165D">
              <w:rPr>
                <w:b/>
                <w:lang w:val="ru-RU"/>
              </w:rPr>
              <w:t>-</w:t>
            </w:r>
            <w:r w:rsidRPr="0082165D">
              <w:rPr>
                <w:b/>
              </w:rPr>
              <w:t>CW</w:t>
            </w:r>
          </w:p>
        </w:tc>
        <w:tc>
          <w:tcPr>
            <w:tcW w:w="6470" w:type="dxa"/>
          </w:tcPr>
          <w:p w:rsidR="00F56FD2" w:rsidRPr="0082165D" w:rsidRDefault="00F56FD2" w:rsidP="00F56FD2">
            <w:pPr>
              <w:rPr>
                <w:lang w:val="ru-RU"/>
              </w:rPr>
            </w:pPr>
            <w:r w:rsidRPr="005112FE">
              <w:rPr>
                <w:lang w:val="ru-RU"/>
              </w:rPr>
              <w:t>Форма предварительной проверки поставщи</w:t>
            </w:r>
            <w:r>
              <w:rPr>
                <w:lang w:val="ru-RU"/>
              </w:rPr>
              <w:t xml:space="preserve">ка с определением фактора риска </w:t>
            </w:r>
            <w:r w:rsidRPr="005112FE">
              <w:rPr>
                <w:lang w:val="ru-RU"/>
              </w:rPr>
              <w:t>(отбор поставщиков для полевой проверки)</w:t>
            </w:r>
          </w:p>
        </w:tc>
      </w:tr>
      <w:tr w:rsidR="00F56FD2" w:rsidRPr="00C75E94" w:rsidTr="007D28E9">
        <w:tc>
          <w:tcPr>
            <w:tcW w:w="2547" w:type="dxa"/>
          </w:tcPr>
          <w:p w:rsidR="00F56FD2" w:rsidRPr="0082165D" w:rsidRDefault="00F56FD2" w:rsidP="00F56FD2">
            <w:pPr>
              <w:rPr>
                <w:b/>
              </w:rPr>
            </w:pPr>
            <w:r w:rsidRPr="0082165D">
              <w:rPr>
                <w:b/>
              </w:rPr>
              <w:t>ANNEX</w:t>
            </w:r>
            <w:r w:rsidRPr="0082165D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4</w:t>
            </w:r>
            <w:r w:rsidRPr="0082165D">
              <w:rPr>
                <w:b/>
                <w:lang w:val="ru-RU"/>
              </w:rPr>
              <w:t>-</w:t>
            </w:r>
            <w:r w:rsidRPr="0082165D">
              <w:rPr>
                <w:b/>
              </w:rPr>
              <w:t>DDS</w:t>
            </w:r>
            <w:r w:rsidRPr="0082165D">
              <w:rPr>
                <w:b/>
                <w:lang w:val="ru-RU"/>
              </w:rPr>
              <w:t>-</w:t>
            </w:r>
            <w:r w:rsidRPr="0082165D">
              <w:rPr>
                <w:b/>
              </w:rPr>
              <w:t>CFMK</w:t>
            </w:r>
            <w:r w:rsidRPr="0082165D">
              <w:rPr>
                <w:b/>
                <w:lang w:val="ru-RU"/>
              </w:rPr>
              <w:t>-</w:t>
            </w:r>
            <w:r w:rsidRPr="0082165D">
              <w:rPr>
                <w:b/>
              </w:rPr>
              <w:t>CW</w:t>
            </w:r>
          </w:p>
        </w:tc>
        <w:tc>
          <w:tcPr>
            <w:tcW w:w="6470" w:type="dxa"/>
          </w:tcPr>
          <w:p w:rsidR="00F56FD2" w:rsidRPr="0082165D" w:rsidRDefault="00F56FD2" w:rsidP="00F56FD2">
            <w:pPr>
              <w:rPr>
                <w:lang w:val="ru-RU"/>
              </w:rPr>
            </w:pPr>
            <w:r>
              <w:rPr>
                <w:lang w:val="ru-RU"/>
              </w:rPr>
              <w:t>Форма отчёта о полевой проверке</w:t>
            </w:r>
          </w:p>
        </w:tc>
      </w:tr>
      <w:tr w:rsidR="00F56FD2" w:rsidRPr="00C75E94" w:rsidTr="007D28E9">
        <w:tc>
          <w:tcPr>
            <w:tcW w:w="2547" w:type="dxa"/>
          </w:tcPr>
          <w:p w:rsidR="00F56FD2" w:rsidRPr="00C24BE9" w:rsidRDefault="00F56FD2" w:rsidP="00F56FD2">
            <w:pPr>
              <w:rPr>
                <w:b/>
              </w:rPr>
            </w:pPr>
            <w:r>
              <w:rPr>
                <w:b/>
              </w:rPr>
              <w:t>ANNEX-5-DDS-CFMK-CW</w:t>
            </w:r>
          </w:p>
        </w:tc>
        <w:tc>
          <w:tcPr>
            <w:tcW w:w="6470" w:type="dxa"/>
          </w:tcPr>
          <w:p w:rsidR="00F56FD2" w:rsidRPr="00C24BE9" w:rsidRDefault="00F56FD2" w:rsidP="00F56FD2">
            <w:pPr>
              <w:rPr>
                <w:lang w:val="ru-RU"/>
              </w:rPr>
            </w:pPr>
            <w:r>
              <w:rPr>
                <w:lang w:val="ru-RU"/>
              </w:rPr>
              <w:t xml:space="preserve">Процедура работы с обращениями заинтересованных сторон </w:t>
            </w:r>
            <w:r w:rsidRPr="005943A9">
              <w:rPr>
                <w:color w:val="00B0F0"/>
                <w:lang w:val="ru-RU"/>
              </w:rPr>
              <w:t>(публичный документ)</w:t>
            </w:r>
          </w:p>
        </w:tc>
      </w:tr>
      <w:tr w:rsidR="00F56FD2" w:rsidRPr="00C75E94" w:rsidTr="007D28E9">
        <w:tc>
          <w:tcPr>
            <w:tcW w:w="2547" w:type="dxa"/>
          </w:tcPr>
          <w:p w:rsidR="00F56FD2" w:rsidRPr="00C24BE9" w:rsidRDefault="00F56FD2" w:rsidP="00F56FD2">
            <w:pPr>
              <w:rPr>
                <w:b/>
                <w:lang w:val="ru-RU"/>
              </w:rPr>
            </w:pPr>
            <w:r>
              <w:rPr>
                <w:b/>
              </w:rPr>
              <w:t>ANNEX-6-DDS-CFMK-CW</w:t>
            </w:r>
          </w:p>
        </w:tc>
        <w:tc>
          <w:tcPr>
            <w:tcW w:w="6470" w:type="dxa"/>
          </w:tcPr>
          <w:p w:rsidR="00F56FD2" w:rsidRDefault="00F56FD2" w:rsidP="00F56FD2">
            <w:pPr>
              <w:rPr>
                <w:lang w:val="ru-RU"/>
              </w:rPr>
            </w:pPr>
            <w:r>
              <w:rPr>
                <w:lang w:val="ru-RU"/>
              </w:rPr>
              <w:t xml:space="preserve">Список заинтересованных сторон </w:t>
            </w:r>
          </w:p>
          <w:p w:rsidR="00F56FD2" w:rsidRDefault="00F56FD2" w:rsidP="00F56FD2">
            <w:pPr>
              <w:rPr>
                <w:lang w:val="ru-RU"/>
              </w:rPr>
            </w:pPr>
            <w:r w:rsidRPr="005943A9">
              <w:rPr>
                <w:color w:val="00B0F0"/>
                <w:lang w:val="ru-RU"/>
              </w:rPr>
              <w:t>(публичный документ)</w:t>
            </w:r>
          </w:p>
        </w:tc>
      </w:tr>
      <w:tr w:rsidR="00F56FD2" w:rsidRPr="00C75E94" w:rsidTr="007D28E9">
        <w:tc>
          <w:tcPr>
            <w:tcW w:w="2547" w:type="dxa"/>
          </w:tcPr>
          <w:p w:rsidR="00F56FD2" w:rsidRPr="00F56FD2" w:rsidRDefault="00F56FD2" w:rsidP="00B72D6F">
            <w:pPr>
              <w:rPr>
                <w:b/>
                <w:lang w:val="ru-RU"/>
              </w:rPr>
            </w:pPr>
            <w:r>
              <w:rPr>
                <w:b/>
              </w:rPr>
              <w:t>ANNEX-7</w:t>
            </w:r>
            <w:bookmarkStart w:id="1" w:name="_GoBack"/>
            <w:bookmarkEnd w:id="1"/>
            <w:r>
              <w:rPr>
                <w:b/>
              </w:rPr>
              <w:t>-DDS-CFMK-CW</w:t>
            </w:r>
          </w:p>
        </w:tc>
        <w:tc>
          <w:tcPr>
            <w:tcW w:w="6470" w:type="dxa"/>
          </w:tcPr>
          <w:p w:rsidR="00F56FD2" w:rsidRDefault="00F56FD2" w:rsidP="00B72D6F">
            <w:pPr>
              <w:rPr>
                <w:lang w:val="ru-RU"/>
              </w:rPr>
            </w:pPr>
            <w:r>
              <w:rPr>
                <w:lang w:val="ru-RU"/>
              </w:rPr>
              <w:t>Формы писем для приглашения различных групп заинтересова</w:t>
            </w:r>
            <w:r>
              <w:rPr>
                <w:lang w:val="ru-RU"/>
              </w:rPr>
              <w:t>н</w:t>
            </w:r>
            <w:r>
              <w:rPr>
                <w:lang w:val="ru-RU"/>
              </w:rPr>
              <w:t>ных сторон к консультациям</w:t>
            </w:r>
          </w:p>
        </w:tc>
      </w:tr>
    </w:tbl>
    <w:p w:rsidR="0006129B" w:rsidRPr="0082165D" w:rsidRDefault="0006129B" w:rsidP="00270AB5">
      <w:pPr>
        <w:spacing w:before="240" w:after="120"/>
        <w:rPr>
          <w:lang w:val="ru-RU"/>
        </w:rPr>
      </w:pPr>
      <w:r>
        <w:rPr>
          <w:lang w:val="ru-RU"/>
        </w:rPr>
        <w:t>Сокращения используемые</w:t>
      </w:r>
      <w:r w:rsidR="003B171E">
        <w:rPr>
          <w:lang w:val="ru-RU"/>
        </w:rPr>
        <w:t xml:space="preserve"> </w:t>
      </w:r>
      <w:r>
        <w:rPr>
          <w:lang w:val="ru-RU"/>
        </w:rPr>
        <w:t xml:space="preserve"> настоящей </w:t>
      </w:r>
      <w:r w:rsidRPr="00270AB5">
        <w:rPr>
          <w:lang w:val="ru-RU"/>
        </w:rPr>
        <w:t>DDS</w:t>
      </w:r>
    </w:p>
    <w:tbl>
      <w:tblPr>
        <w:tblStyle w:val="af9"/>
        <w:tblW w:w="0" w:type="auto"/>
        <w:tblBorders>
          <w:top w:val="single" w:sz="4" w:space="0" w:color="FF7EFF" w:themeColor="background1" w:themeShade="BF"/>
          <w:left w:val="single" w:sz="4" w:space="0" w:color="FF7EFF" w:themeColor="background1" w:themeShade="BF"/>
          <w:bottom w:val="single" w:sz="4" w:space="0" w:color="FF7EFF" w:themeColor="background1" w:themeShade="BF"/>
          <w:right w:val="single" w:sz="4" w:space="0" w:color="FF7EFF" w:themeColor="background1" w:themeShade="BF"/>
          <w:insideH w:val="single" w:sz="4" w:space="0" w:color="FF7EFF" w:themeColor="background1" w:themeShade="BF"/>
          <w:insideV w:val="single" w:sz="4" w:space="0" w:color="FF7EFF" w:themeColor="background1" w:themeShade="BF"/>
        </w:tblBorders>
        <w:tblCellMar>
          <w:top w:w="57" w:type="dxa"/>
          <w:bottom w:w="57" w:type="dxa"/>
        </w:tblCellMar>
        <w:tblLook w:val="04A0"/>
      </w:tblPr>
      <w:tblGrid>
        <w:gridCol w:w="2547"/>
        <w:gridCol w:w="6470"/>
      </w:tblGrid>
      <w:tr w:rsidR="002F0318" w:rsidTr="007D28E9">
        <w:tc>
          <w:tcPr>
            <w:tcW w:w="2547" w:type="dxa"/>
          </w:tcPr>
          <w:p w:rsidR="002F0318" w:rsidRDefault="002F0318" w:rsidP="002F031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ВБУ</w:t>
            </w:r>
          </w:p>
        </w:tc>
        <w:tc>
          <w:tcPr>
            <w:tcW w:w="6470" w:type="dxa"/>
          </w:tcPr>
          <w:p w:rsidR="002F0318" w:rsidRDefault="002F0318" w:rsidP="002F0318">
            <w:pPr>
              <w:rPr>
                <w:lang w:val="ru-RU"/>
              </w:rPr>
            </w:pPr>
            <w:r>
              <w:rPr>
                <w:lang w:val="ru-RU"/>
              </w:rPr>
              <w:t>Водно-болотные угодья</w:t>
            </w:r>
          </w:p>
        </w:tc>
      </w:tr>
      <w:tr w:rsidR="002F0318" w:rsidTr="007D28E9">
        <w:tc>
          <w:tcPr>
            <w:tcW w:w="2547" w:type="dxa"/>
          </w:tcPr>
          <w:p w:rsidR="002F0318" w:rsidRDefault="002F0318" w:rsidP="002F031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ВРД</w:t>
            </w:r>
          </w:p>
        </w:tc>
        <w:tc>
          <w:tcPr>
            <w:tcW w:w="6470" w:type="dxa"/>
          </w:tcPr>
          <w:p w:rsidR="002F0318" w:rsidRDefault="002F0318" w:rsidP="002F0318">
            <w:pPr>
              <w:rPr>
                <w:lang w:val="ru-RU"/>
              </w:rPr>
            </w:pPr>
            <w:r>
              <w:rPr>
                <w:lang w:val="ru-RU"/>
              </w:rPr>
              <w:t xml:space="preserve">Владелец </w:t>
            </w:r>
            <w:r w:rsidR="003B171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разрешительного </w:t>
            </w:r>
            <w:r w:rsidR="003B171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документа</w:t>
            </w:r>
          </w:p>
        </w:tc>
      </w:tr>
      <w:tr w:rsidR="002F0318" w:rsidTr="007D28E9">
        <w:tc>
          <w:tcPr>
            <w:tcW w:w="2547" w:type="dxa"/>
          </w:tcPr>
          <w:p w:rsidR="002F0318" w:rsidRPr="0006129B" w:rsidRDefault="002F0318" w:rsidP="002F0318">
            <w:pPr>
              <w:rPr>
                <w:b/>
                <w:lang w:val="ru-RU"/>
              </w:rPr>
            </w:pPr>
            <w:r w:rsidRPr="0006129B">
              <w:rPr>
                <w:b/>
                <w:lang w:val="ru-RU"/>
              </w:rPr>
              <w:t>ДА ЛУ</w:t>
            </w:r>
          </w:p>
        </w:tc>
        <w:tc>
          <w:tcPr>
            <w:tcW w:w="6470" w:type="dxa"/>
          </w:tcPr>
          <w:p w:rsidR="002F0318" w:rsidRDefault="002F0318" w:rsidP="002F0318">
            <w:pPr>
              <w:rPr>
                <w:lang w:val="ru-RU"/>
              </w:rPr>
            </w:pPr>
            <w:r>
              <w:rPr>
                <w:lang w:val="ru-RU"/>
              </w:rPr>
              <w:t xml:space="preserve">Договор </w:t>
            </w:r>
            <w:r w:rsidR="003B171E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аренды лесного участка</w:t>
            </w:r>
          </w:p>
        </w:tc>
      </w:tr>
      <w:tr w:rsidR="002F0318" w:rsidRPr="00C75E94" w:rsidTr="007D28E9">
        <w:tc>
          <w:tcPr>
            <w:tcW w:w="2547" w:type="dxa"/>
          </w:tcPr>
          <w:p w:rsidR="002F0318" w:rsidRPr="0006129B" w:rsidRDefault="002F0318" w:rsidP="002F0318">
            <w:pPr>
              <w:rPr>
                <w:b/>
                <w:lang w:val="ru-RU"/>
              </w:rPr>
            </w:pPr>
            <w:r w:rsidRPr="0006129B">
              <w:rPr>
                <w:b/>
                <w:lang w:val="ru-RU"/>
              </w:rPr>
              <w:t>ДКП ЛН</w:t>
            </w:r>
          </w:p>
        </w:tc>
        <w:tc>
          <w:tcPr>
            <w:tcW w:w="6470" w:type="dxa"/>
          </w:tcPr>
          <w:p w:rsidR="002F0318" w:rsidRDefault="002F0318" w:rsidP="002F0318">
            <w:pPr>
              <w:rPr>
                <w:lang w:val="ru-RU"/>
              </w:rPr>
            </w:pPr>
            <w:r>
              <w:rPr>
                <w:lang w:val="ru-RU"/>
              </w:rPr>
              <w:t xml:space="preserve">Договор купли-продажи лесных </w:t>
            </w:r>
            <w:r w:rsidR="003B171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насаждений</w:t>
            </w:r>
          </w:p>
        </w:tc>
      </w:tr>
      <w:tr w:rsidR="00C24BE9" w:rsidRPr="007D28E9" w:rsidTr="007D28E9">
        <w:tc>
          <w:tcPr>
            <w:tcW w:w="2547" w:type="dxa"/>
          </w:tcPr>
          <w:p w:rsidR="00C24BE9" w:rsidRPr="0006129B" w:rsidRDefault="00C24BE9" w:rsidP="002F031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ЗС</w:t>
            </w:r>
          </w:p>
        </w:tc>
        <w:tc>
          <w:tcPr>
            <w:tcW w:w="6470" w:type="dxa"/>
          </w:tcPr>
          <w:p w:rsidR="00C24BE9" w:rsidRDefault="00C24BE9" w:rsidP="002F0318">
            <w:pPr>
              <w:rPr>
                <w:lang w:val="ru-RU"/>
              </w:rPr>
            </w:pPr>
            <w:r>
              <w:rPr>
                <w:lang w:val="ru-RU"/>
              </w:rPr>
              <w:t xml:space="preserve">Заинтересованная сторона </w:t>
            </w:r>
          </w:p>
        </w:tc>
      </w:tr>
      <w:tr w:rsidR="002F0318" w:rsidTr="007D28E9">
        <w:tc>
          <w:tcPr>
            <w:tcW w:w="2547" w:type="dxa"/>
          </w:tcPr>
          <w:p w:rsidR="002F0318" w:rsidRDefault="002F0318" w:rsidP="002F031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КОТР</w:t>
            </w:r>
          </w:p>
        </w:tc>
        <w:tc>
          <w:tcPr>
            <w:tcW w:w="6470" w:type="dxa"/>
          </w:tcPr>
          <w:p w:rsidR="002F0318" w:rsidRDefault="002F0318" w:rsidP="002F0318">
            <w:pPr>
              <w:rPr>
                <w:lang w:val="ru-RU"/>
              </w:rPr>
            </w:pPr>
            <w:r>
              <w:rPr>
                <w:lang w:val="ru-RU"/>
              </w:rPr>
              <w:t xml:space="preserve">Ключевые орнитологические </w:t>
            </w:r>
            <w:r w:rsidR="003B171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территории</w:t>
            </w:r>
          </w:p>
        </w:tc>
      </w:tr>
      <w:tr w:rsidR="002F0318" w:rsidTr="007D28E9">
        <w:tc>
          <w:tcPr>
            <w:tcW w:w="2547" w:type="dxa"/>
          </w:tcPr>
          <w:p w:rsidR="002F0318" w:rsidRPr="0006129B" w:rsidRDefault="002F0318" w:rsidP="002F031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ЛВПЦ</w:t>
            </w:r>
          </w:p>
        </w:tc>
        <w:tc>
          <w:tcPr>
            <w:tcW w:w="6470" w:type="dxa"/>
          </w:tcPr>
          <w:p w:rsidR="002F0318" w:rsidRPr="000670DF" w:rsidRDefault="002F0318" w:rsidP="002F0318">
            <w:pPr>
              <w:rPr>
                <w:lang w:val="ru-RU"/>
              </w:rPr>
            </w:pPr>
            <w:r>
              <w:rPr>
                <w:lang w:val="ru-RU"/>
              </w:rPr>
              <w:t>Леса Высокой Природоохранной Ценности</w:t>
            </w:r>
          </w:p>
        </w:tc>
      </w:tr>
      <w:tr w:rsidR="002F0318" w:rsidRPr="002F0318" w:rsidTr="007D28E9">
        <w:tc>
          <w:tcPr>
            <w:tcW w:w="2547" w:type="dxa"/>
          </w:tcPr>
          <w:p w:rsidR="002F0318" w:rsidRPr="0006129B" w:rsidRDefault="002F0318" w:rsidP="002F031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ЛД</w:t>
            </w:r>
          </w:p>
        </w:tc>
        <w:tc>
          <w:tcPr>
            <w:tcW w:w="6470" w:type="dxa"/>
          </w:tcPr>
          <w:p w:rsidR="002F0318" w:rsidRDefault="002F0318" w:rsidP="002F0318">
            <w:pPr>
              <w:rPr>
                <w:lang w:val="ru-RU"/>
              </w:rPr>
            </w:pPr>
            <w:r w:rsidRPr="002F0318">
              <w:rPr>
                <w:lang w:val="ru-RU"/>
              </w:rPr>
              <w:t>Лесная декларация</w:t>
            </w:r>
          </w:p>
        </w:tc>
      </w:tr>
      <w:tr w:rsidR="002F0318" w:rsidTr="007D28E9">
        <w:tc>
          <w:tcPr>
            <w:tcW w:w="2547" w:type="dxa"/>
          </w:tcPr>
          <w:p w:rsidR="002F0318" w:rsidRDefault="002F0318" w:rsidP="002F031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МЛТ</w:t>
            </w:r>
          </w:p>
        </w:tc>
        <w:tc>
          <w:tcPr>
            <w:tcW w:w="6470" w:type="dxa"/>
          </w:tcPr>
          <w:p w:rsidR="002F0318" w:rsidRDefault="002F0318" w:rsidP="002F0318">
            <w:pPr>
              <w:rPr>
                <w:lang w:val="ru-RU"/>
              </w:rPr>
            </w:pPr>
            <w:r>
              <w:rPr>
                <w:lang w:val="ru-RU"/>
              </w:rPr>
              <w:t>Малонарушенные</w:t>
            </w:r>
            <w:r w:rsidR="003B171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лесные территории</w:t>
            </w:r>
          </w:p>
        </w:tc>
      </w:tr>
      <w:tr w:rsidR="002F0318" w:rsidRPr="00C75E94" w:rsidTr="007D28E9">
        <w:tc>
          <w:tcPr>
            <w:tcW w:w="2547" w:type="dxa"/>
          </w:tcPr>
          <w:p w:rsidR="002F0318" w:rsidRDefault="002F0318" w:rsidP="002F031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РД</w:t>
            </w:r>
          </w:p>
        </w:tc>
        <w:tc>
          <w:tcPr>
            <w:tcW w:w="6470" w:type="dxa"/>
          </w:tcPr>
          <w:p w:rsidR="002F0318" w:rsidRDefault="002F0318" w:rsidP="002F0318">
            <w:pPr>
              <w:rPr>
                <w:lang w:val="ru-RU"/>
              </w:rPr>
            </w:pPr>
            <w:r>
              <w:rPr>
                <w:lang w:val="ru-RU"/>
              </w:rPr>
              <w:t>Разрешительные документы на заготовку древесины</w:t>
            </w:r>
          </w:p>
        </w:tc>
      </w:tr>
    </w:tbl>
    <w:p w:rsidR="007D28E9" w:rsidRPr="00270AB5" w:rsidRDefault="007D28E9" w:rsidP="0006129B">
      <w:pPr>
        <w:rPr>
          <w:lang w:val="ru-RU"/>
        </w:rPr>
      </w:pPr>
    </w:p>
    <w:p w:rsidR="00E04D86" w:rsidRPr="00466451" w:rsidRDefault="00E04D86" w:rsidP="00A9788E">
      <w:pPr>
        <w:pStyle w:val="2"/>
        <w:numPr>
          <w:ilvl w:val="0"/>
          <w:numId w:val="3"/>
        </w:numPr>
        <w:ind w:left="567" w:hanging="567"/>
        <w:rPr>
          <w:lang w:val="ru-RU"/>
        </w:rPr>
      </w:pPr>
      <w:bookmarkStart w:id="2" w:name="_Toc487455545"/>
      <w:r w:rsidRPr="00466451">
        <w:rPr>
          <w:lang w:val="ru-RU"/>
        </w:rPr>
        <w:lastRenderedPageBreak/>
        <w:t>Цель</w:t>
      </w:r>
      <w:r w:rsidR="007F39D9">
        <w:rPr>
          <w:lang w:val="ru-RU"/>
        </w:rPr>
        <w:t xml:space="preserve"> и общая методика</w:t>
      </w:r>
      <w:bookmarkEnd w:id="2"/>
    </w:p>
    <w:p w:rsidR="00782255" w:rsidRDefault="00EC0D95" w:rsidP="00782255">
      <w:pPr>
        <w:jc w:val="both"/>
        <w:rPr>
          <w:lang w:val="ru-RU"/>
        </w:rPr>
      </w:pPr>
      <w:r>
        <w:rPr>
          <w:lang w:val="ru-RU"/>
        </w:rPr>
        <w:t xml:space="preserve">Настоящая система должной добросовестности (далее по тексту </w:t>
      </w:r>
      <w:r>
        <w:t>DDS</w:t>
      </w:r>
      <w:r>
        <w:rPr>
          <w:lang w:val="ru-RU"/>
        </w:rPr>
        <w:t>) разработана для собл</w:t>
      </w:r>
      <w:r>
        <w:rPr>
          <w:lang w:val="ru-RU"/>
        </w:rPr>
        <w:t>ю</w:t>
      </w:r>
      <w:r>
        <w:rPr>
          <w:lang w:val="ru-RU"/>
        </w:rPr>
        <w:t xml:space="preserve">дения требований к закупкам </w:t>
      </w:r>
      <w:r>
        <w:t>FSC</w:t>
      </w:r>
      <w:r>
        <w:rPr>
          <w:lang w:val="ru-RU"/>
        </w:rPr>
        <w:t>-контролируемой древесины</w:t>
      </w:r>
      <w:r w:rsidR="00C1322C">
        <w:rPr>
          <w:lang w:val="ru-RU"/>
        </w:rPr>
        <w:t>.</w:t>
      </w:r>
      <w:r w:rsidR="003B171E">
        <w:rPr>
          <w:lang w:val="ru-RU"/>
        </w:rPr>
        <w:t xml:space="preserve"> </w:t>
      </w:r>
      <w:r w:rsidR="00C1322C">
        <w:t>DDS</w:t>
      </w:r>
      <w:r w:rsidR="003B171E">
        <w:rPr>
          <w:lang w:val="ru-RU"/>
        </w:rPr>
        <w:t xml:space="preserve"> </w:t>
      </w:r>
      <w:r w:rsidR="004143E3">
        <w:rPr>
          <w:lang w:val="ru-RU"/>
        </w:rPr>
        <w:t>устанавливает</w:t>
      </w:r>
      <w:r w:rsidR="00D36810">
        <w:rPr>
          <w:lang w:val="ru-RU"/>
        </w:rPr>
        <w:t xml:space="preserve"> систему о</w:t>
      </w:r>
      <w:r w:rsidR="00D36810">
        <w:rPr>
          <w:lang w:val="ru-RU"/>
        </w:rPr>
        <w:t>т</w:t>
      </w:r>
      <w:r w:rsidR="00D36810">
        <w:rPr>
          <w:lang w:val="ru-RU"/>
        </w:rPr>
        <w:t>бора</w:t>
      </w:r>
      <w:r w:rsidR="003B171E">
        <w:rPr>
          <w:lang w:val="ru-RU"/>
        </w:rPr>
        <w:t xml:space="preserve"> </w:t>
      </w:r>
      <w:r w:rsidR="00D36810">
        <w:rPr>
          <w:lang w:val="ru-RU"/>
        </w:rPr>
        <w:t xml:space="preserve"> поставщиков</w:t>
      </w:r>
      <w:r w:rsidR="003B171E">
        <w:rPr>
          <w:lang w:val="ru-RU"/>
        </w:rPr>
        <w:t xml:space="preserve">  </w:t>
      </w:r>
      <w:r w:rsidR="004143E3">
        <w:rPr>
          <w:lang w:val="ru-RU"/>
        </w:rPr>
        <w:t>для</w:t>
      </w:r>
      <w:r w:rsidR="00C1322C">
        <w:rPr>
          <w:lang w:val="ru-RU"/>
        </w:rPr>
        <w:t xml:space="preserve"> </w:t>
      </w:r>
      <w:r w:rsidR="003B171E">
        <w:rPr>
          <w:lang w:val="ru-RU"/>
        </w:rPr>
        <w:t xml:space="preserve"> </w:t>
      </w:r>
      <w:r w:rsidR="00C1322C">
        <w:rPr>
          <w:lang w:val="ru-RU"/>
        </w:rPr>
        <w:t>не</w:t>
      </w:r>
      <w:r w:rsidR="004143E3">
        <w:rPr>
          <w:lang w:val="ru-RU"/>
        </w:rPr>
        <w:t>допущения</w:t>
      </w:r>
      <w:r w:rsidR="00C1322C">
        <w:rPr>
          <w:lang w:val="ru-RU"/>
        </w:rPr>
        <w:t xml:space="preserve"> поставки</w:t>
      </w:r>
      <w:r w:rsidR="00782255">
        <w:rPr>
          <w:lang w:val="ru-RU"/>
        </w:rPr>
        <w:t xml:space="preserve"> сырья</w:t>
      </w:r>
      <w:r w:rsidR="003B171E">
        <w:rPr>
          <w:lang w:val="ru-RU"/>
        </w:rPr>
        <w:t xml:space="preserve"> </w:t>
      </w:r>
      <w:r w:rsidR="00782255">
        <w:rPr>
          <w:lang w:val="ru-RU"/>
        </w:rPr>
        <w:t>запрещен</w:t>
      </w:r>
      <w:r w:rsidR="00C1322C">
        <w:rPr>
          <w:lang w:val="ru-RU"/>
        </w:rPr>
        <w:t>ных</w:t>
      </w:r>
      <w:r w:rsidR="00782255">
        <w:rPr>
          <w:lang w:val="ru-RU"/>
        </w:rPr>
        <w:t xml:space="preserve"> </w:t>
      </w:r>
      <w:r w:rsidR="003B171E">
        <w:rPr>
          <w:lang w:val="ru-RU"/>
        </w:rPr>
        <w:t xml:space="preserve"> </w:t>
      </w:r>
      <w:r w:rsidR="00782255">
        <w:rPr>
          <w:lang w:val="ru-RU"/>
        </w:rPr>
        <w:t>категорий, а именно:</w:t>
      </w:r>
    </w:p>
    <w:tbl>
      <w:tblPr>
        <w:tblStyle w:val="af9"/>
        <w:tblW w:w="0" w:type="auto"/>
        <w:tblCellMar>
          <w:top w:w="57" w:type="dxa"/>
          <w:bottom w:w="57" w:type="dxa"/>
        </w:tblCellMar>
        <w:tblLook w:val="04A0"/>
      </w:tblPr>
      <w:tblGrid>
        <w:gridCol w:w="562"/>
        <w:gridCol w:w="8455"/>
      </w:tblGrid>
      <w:tr w:rsidR="00782255" w:rsidTr="00C1322C">
        <w:tc>
          <w:tcPr>
            <w:tcW w:w="562" w:type="dxa"/>
            <w:shd w:val="clear" w:color="auto" w:fill="E5EBB0" w:themeFill="accent3" w:themeFillTint="66"/>
          </w:tcPr>
          <w:p w:rsidR="00782255" w:rsidRPr="00782255" w:rsidRDefault="00782255" w:rsidP="00782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455" w:type="dxa"/>
            <w:shd w:val="clear" w:color="auto" w:fill="E5EBB0" w:themeFill="accent3" w:themeFillTint="66"/>
          </w:tcPr>
          <w:p w:rsidR="00782255" w:rsidRDefault="00782255" w:rsidP="0078225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Категория</w:t>
            </w:r>
          </w:p>
        </w:tc>
      </w:tr>
      <w:tr w:rsidR="00782255" w:rsidTr="00C1322C">
        <w:tc>
          <w:tcPr>
            <w:tcW w:w="562" w:type="dxa"/>
          </w:tcPr>
          <w:p w:rsidR="00782255" w:rsidRPr="00C1322C" w:rsidRDefault="00782255" w:rsidP="00782255">
            <w:pPr>
              <w:jc w:val="center"/>
              <w:rPr>
                <w:b/>
                <w:lang w:val="ru-RU"/>
              </w:rPr>
            </w:pPr>
            <w:r w:rsidRPr="00C1322C">
              <w:rPr>
                <w:b/>
                <w:lang w:val="ru-RU"/>
              </w:rPr>
              <w:t>1</w:t>
            </w:r>
          </w:p>
        </w:tc>
        <w:tc>
          <w:tcPr>
            <w:tcW w:w="8455" w:type="dxa"/>
          </w:tcPr>
          <w:p w:rsidR="00782255" w:rsidRDefault="00782255" w:rsidP="0078225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Незаконно заготовленная древесина</w:t>
            </w:r>
          </w:p>
        </w:tc>
      </w:tr>
      <w:tr w:rsidR="00782255" w:rsidRPr="00C75E94" w:rsidTr="00C1322C">
        <w:tc>
          <w:tcPr>
            <w:tcW w:w="562" w:type="dxa"/>
          </w:tcPr>
          <w:p w:rsidR="00782255" w:rsidRPr="00C1322C" w:rsidRDefault="00782255" w:rsidP="00782255">
            <w:pPr>
              <w:jc w:val="center"/>
              <w:rPr>
                <w:b/>
                <w:lang w:val="ru-RU"/>
              </w:rPr>
            </w:pPr>
            <w:r w:rsidRPr="00C1322C">
              <w:rPr>
                <w:b/>
                <w:lang w:val="ru-RU"/>
              </w:rPr>
              <w:t>2</w:t>
            </w:r>
          </w:p>
        </w:tc>
        <w:tc>
          <w:tcPr>
            <w:tcW w:w="8455" w:type="dxa"/>
          </w:tcPr>
          <w:p w:rsidR="00782255" w:rsidRDefault="00C1322C" w:rsidP="0078225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Древесина, заготовленная с нарушениями традиционных и гражданских прав</w:t>
            </w:r>
          </w:p>
        </w:tc>
      </w:tr>
      <w:tr w:rsidR="00782255" w:rsidRPr="00C75E94" w:rsidTr="00C1322C">
        <w:tc>
          <w:tcPr>
            <w:tcW w:w="562" w:type="dxa"/>
          </w:tcPr>
          <w:p w:rsidR="00782255" w:rsidRPr="00C1322C" w:rsidRDefault="00782255" w:rsidP="00782255">
            <w:pPr>
              <w:jc w:val="center"/>
              <w:rPr>
                <w:b/>
                <w:lang w:val="ru-RU"/>
              </w:rPr>
            </w:pPr>
            <w:r w:rsidRPr="00C1322C">
              <w:rPr>
                <w:b/>
                <w:lang w:val="ru-RU"/>
              </w:rPr>
              <w:t>3</w:t>
            </w:r>
          </w:p>
        </w:tc>
        <w:tc>
          <w:tcPr>
            <w:tcW w:w="8455" w:type="dxa"/>
          </w:tcPr>
          <w:p w:rsidR="00782255" w:rsidRDefault="00C1322C" w:rsidP="0078225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Древесина, заготовленная в лесах, где хозяйственная деятельность угрожает сущес</w:t>
            </w:r>
            <w:r>
              <w:rPr>
                <w:lang w:val="ru-RU"/>
              </w:rPr>
              <w:t>т</w:t>
            </w:r>
            <w:r>
              <w:rPr>
                <w:lang w:val="ru-RU"/>
              </w:rPr>
              <w:t>вованию их высокой природоохранной ценности</w:t>
            </w:r>
          </w:p>
        </w:tc>
      </w:tr>
      <w:tr w:rsidR="00782255" w:rsidRPr="00C75E94" w:rsidTr="00C1322C">
        <w:tc>
          <w:tcPr>
            <w:tcW w:w="562" w:type="dxa"/>
          </w:tcPr>
          <w:p w:rsidR="00782255" w:rsidRPr="00C1322C" w:rsidRDefault="00782255" w:rsidP="00782255">
            <w:pPr>
              <w:jc w:val="center"/>
              <w:rPr>
                <w:b/>
                <w:lang w:val="ru-RU"/>
              </w:rPr>
            </w:pPr>
            <w:r w:rsidRPr="00C1322C">
              <w:rPr>
                <w:b/>
                <w:lang w:val="ru-RU"/>
              </w:rPr>
              <w:t>4</w:t>
            </w:r>
          </w:p>
        </w:tc>
        <w:tc>
          <w:tcPr>
            <w:tcW w:w="8455" w:type="dxa"/>
          </w:tcPr>
          <w:p w:rsidR="003B171E" w:rsidRDefault="00C1322C" w:rsidP="0078225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Древесина, заготовленная в лесах, которые переводятся в плантации и нелесные</w:t>
            </w:r>
          </w:p>
          <w:p w:rsidR="00782255" w:rsidRDefault="00C1322C" w:rsidP="0078225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земли</w:t>
            </w:r>
          </w:p>
        </w:tc>
      </w:tr>
      <w:tr w:rsidR="00782255" w:rsidRPr="00C75E94" w:rsidTr="00C1322C">
        <w:tc>
          <w:tcPr>
            <w:tcW w:w="562" w:type="dxa"/>
          </w:tcPr>
          <w:p w:rsidR="00782255" w:rsidRPr="00C1322C" w:rsidRDefault="00782255" w:rsidP="00782255">
            <w:pPr>
              <w:jc w:val="center"/>
              <w:rPr>
                <w:b/>
                <w:lang w:val="ru-RU"/>
              </w:rPr>
            </w:pPr>
            <w:r w:rsidRPr="00C1322C">
              <w:rPr>
                <w:b/>
                <w:lang w:val="ru-RU"/>
              </w:rPr>
              <w:t>5</w:t>
            </w:r>
          </w:p>
        </w:tc>
        <w:tc>
          <w:tcPr>
            <w:tcW w:w="8455" w:type="dxa"/>
          </w:tcPr>
          <w:p w:rsidR="00782255" w:rsidRDefault="00C1322C" w:rsidP="0078225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Древесина из лесов, где выращивают</w:t>
            </w:r>
            <w:r w:rsidR="003B171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генетически-модифицированные деревья</w:t>
            </w:r>
          </w:p>
        </w:tc>
      </w:tr>
    </w:tbl>
    <w:p w:rsidR="00C24BE9" w:rsidRDefault="0025101B" w:rsidP="0025101B">
      <w:pPr>
        <w:spacing w:before="240" w:after="120"/>
        <w:jc w:val="both"/>
        <w:rPr>
          <w:rFonts w:eastAsia="Times New Roman" w:cs="Times New Roman"/>
          <w:lang w:val="ru-RU" w:eastAsia="de-DE"/>
        </w:rPr>
      </w:pPr>
      <w:r>
        <w:rPr>
          <w:rFonts w:eastAsia="Times New Roman" w:cs="Times New Roman"/>
          <w:lang w:val="ru-RU" w:eastAsia="de-DE"/>
        </w:rPr>
        <w:t>Поставщик для допуска к поставкам добросовестно предоставляет всю информацию о исто</w:t>
      </w:r>
      <w:r>
        <w:rPr>
          <w:rFonts w:eastAsia="Times New Roman" w:cs="Times New Roman"/>
          <w:lang w:val="ru-RU" w:eastAsia="de-DE"/>
        </w:rPr>
        <w:t>ч</w:t>
      </w:r>
      <w:r>
        <w:rPr>
          <w:rFonts w:eastAsia="Times New Roman" w:cs="Times New Roman"/>
          <w:lang w:val="ru-RU" w:eastAsia="de-DE"/>
        </w:rPr>
        <w:t>никах происхождения поставляемого сырья. Такая необходимость вызвана требованиями си</w:t>
      </w:r>
      <w:r>
        <w:rPr>
          <w:rFonts w:eastAsia="Times New Roman" w:cs="Times New Roman"/>
          <w:lang w:val="ru-RU" w:eastAsia="de-DE"/>
        </w:rPr>
        <w:t>с</w:t>
      </w:r>
      <w:r>
        <w:rPr>
          <w:rFonts w:eastAsia="Times New Roman" w:cs="Times New Roman"/>
          <w:lang w:val="ru-RU" w:eastAsia="de-DE"/>
        </w:rPr>
        <w:t xml:space="preserve">темы добровольной лесной сертификации </w:t>
      </w:r>
      <w:r>
        <w:rPr>
          <w:rFonts w:eastAsia="Times New Roman" w:cs="Times New Roman"/>
          <w:lang w:eastAsia="de-DE"/>
        </w:rPr>
        <w:t>FSC</w:t>
      </w:r>
      <w:r w:rsidRPr="008E589C">
        <w:rPr>
          <w:rFonts w:eastAsia="Times New Roman" w:cs="Times New Roman"/>
          <w:lang w:val="ru-RU" w:eastAsia="de-DE"/>
        </w:rPr>
        <w:t xml:space="preserve"> (</w:t>
      </w:r>
      <w:r>
        <w:rPr>
          <w:rFonts w:eastAsia="Times New Roman" w:cs="Times New Roman"/>
          <w:lang w:eastAsia="de-DE"/>
        </w:rPr>
        <w:t>Forest</w:t>
      </w:r>
      <w:r w:rsidR="003B171E">
        <w:rPr>
          <w:rFonts w:eastAsia="Times New Roman" w:cs="Times New Roman"/>
          <w:lang w:val="ru-RU" w:eastAsia="de-DE"/>
        </w:rPr>
        <w:t xml:space="preserve"> </w:t>
      </w:r>
      <w:r>
        <w:rPr>
          <w:rFonts w:eastAsia="Times New Roman" w:cs="Times New Roman"/>
          <w:lang w:eastAsia="de-DE"/>
        </w:rPr>
        <w:t>Stewardship</w:t>
      </w:r>
      <w:r w:rsidR="003B171E">
        <w:rPr>
          <w:rFonts w:eastAsia="Times New Roman" w:cs="Times New Roman"/>
          <w:lang w:val="ru-RU" w:eastAsia="de-DE"/>
        </w:rPr>
        <w:t xml:space="preserve"> </w:t>
      </w:r>
      <w:r>
        <w:rPr>
          <w:rFonts w:eastAsia="Times New Roman" w:cs="Times New Roman"/>
          <w:lang w:eastAsia="de-DE"/>
        </w:rPr>
        <w:t>Council</w:t>
      </w:r>
      <w:r w:rsidRPr="008E589C">
        <w:rPr>
          <w:rFonts w:eastAsia="Times New Roman" w:cs="Times New Roman"/>
          <w:lang w:val="ru-RU" w:eastAsia="de-DE"/>
        </w:rPr>
        <w:t>)</w:t>
      </w:r>
      <w:r>
        <w:rPr>
          <w:rFonts w:eastAsia="Times New Roman" w:cs="Times New Roman"/>
          <w:lang w:val="ru-RU" w:eastAsia="de-DE"/>
        </w:rPr>
        <w:t>, по которой серт</w:t>
      </w:r>
      <w:r>
        <w:rPr>
          <w:rFonts w:eastAsia="Times New Roman" w:cs="Times New Roman"/>
          <w:lang w:val="ru-RU" w:eastAsia="de-DE"/>
        </w:rPr>
        <w:t>и</w:t>
      </w:r>
      <w:r>
        <w:rPr>
          <w:rFonts w:eastAsia="Times New Roman" w:cs="Times New Roman"/>
          <w:lang w:val="ru-RU" w:eastAsia="de-DE"/>
        </w:rPr>
        <w:t>фицировано Предприятие, а также Евро</w:t>
      </w:r>
      <w:r w:rsidR="003B171E">
        <w:rPr>
          <w:rFonts w:eastAsia="Times New Roman" w:cs="Times New Roman"/>
          <w:lang w:val="ru-RU" w:eastAsia="de-DE"/>
        </w:rPr>
        <w:t>-</w:t>
      </w:r>
      <w:r>
        <w:rPr>
          <w:rFonts w:eastAsia="Times New Roman" w:cs="Times New Roman"/>
          <w:lang w:val="ru-RU" w:eastAsia="de-DE"/>
        </w:rPr>
        <w:t>регламентом по контролю происхождения древесины (ЕС) и закона Лейси</w:t>
      </w:r>
      <w:r w:rsidR="003B171E">
        <w:rPr>
          <w:rFonts w:eastAsia="Times New Roman" w:cs="Times New Roman"/>
          <w:lang w:val="ru-RU" w:eastAsia="de-DE"/>
        </w:rPr>
        <w:t xml:space="preserve"> </w:t>
      </w:r>
      <w:r>
        <w:rPr>
          <w:rFonts w:eastAsia="Times New Roman" w:cs="Times New Roman"/>
          <w:lang w:val="ru-RU" w:eastAsia="de-DE"/>
        </w:rPr>
        <w:t xml:space="preserve"> (США) при экспортных поставках продукции.</w:t>
      </w:r>
    </w:p>
    <w:p w:rsidR="00C24BE9" w:rsidRPr="00DC37FA" w:rsidRDefault="00C24BE9" w:rsidP="00C24BE9">
      <w:pPr>
        <w:spacing w:before="120" w:after="120"/>
        <w:jc w:val="both"/>
        <w:rPr>
          <w:rFonts w:eastAsia="Times New Roman" w:cs="Times New Roman"/>
          <w:lang w:val="ru-RU" w:eastAsia="de-DE"/>
        </w:rPr>
      </w:pPr>
      <w:r w:rsidRPr="00DC37FA">
        <w:rPr>
          <w:rFonts w:eastAsia="Times New Roman" w:cs="Times New Roman"/>
          <w:lang w:val="ru-RU" w:eastAsia="de-DE"/>
        </w:rPr>
        <w:t xml:space="preserve">Предприятие в свою очередь: </w:t>
      </w:r>
    </w:p>
    <w:p w:rsidR="00C24BE9" w:rsidRPr="00DC37FA" w:rsidRDefault="00C24BE9" w:rsidP="00C24BE9">
      <w:pPr>
        <w:pStyle w:val="afb"/>
        <w:numPr>
          <w:ilvl w:val="0"/>
          <w:numId w:val="30"/>
        </w:numPr>
        <w:spacing w:before="120" w:after="120"/>
        <w:jc w:val="both"/>
        <w:rPr>
          <w:rFonts w:eastAsia="Times New Roman" w:cs="Times New Roman"/>
          <w:lang w:val="ru-RU" w:eastAsia="de-DE"/>
        </w:rPr>
      </w:pPr>
      <w:r w:rsidRPr="00DC37FA">
        <w:rPr>
          <w:rFonts w:eastAsia="Times New Roman" w:cs="Times New Roman"/>
          <w:lang w:val="ru-RU" w:eastAsia="de-DE"/>
        </w:rPr>
        <w:t>Проверяет полноту и качество предоставленной информации;</w:t>
      </w:r>
    </w:p>
    <w:p w:rsidR="00C24BE9" w:rsidRDefault="00C24BE9" w:rsidP="00C24BE9">
      <w:pPr>
        <w:pStyle w:val="afb"/>
        <w:numPr>
          <w:ilvl w:val="0"/>
          <w:numId w:val="30"/>
        </w:numPr>
        <w:spacing w:before="120" w:after="120"/>
        <w:jc w:val="both"/>
        <w:rPr>
          <w:rFonts w:eastAsia="Times New Roman" w:cs="Times New Roman"/>
          <w:lang w:val="ru-RU" w:eastAsia="de-DE"/>
        </w:rPr>
      </w:pPr>
      <w:r w:rsidRPr="00DC37FA">
        <w:rPr>
          <w:rFonts w:eastAsia="Times New Roman" w:cs="Times New Roman"/>
          <w:lang w:val="ru-RU" w:eastAsia="de-DE"/>
        </w:rPr>
        <w:t>Проводит оценку риска поставщика по предоставленной информации;</w:t>
      </w:r>
    </w:p>
    <w:p w:rsidR="0025101B" w:rsidRPr="00DC37FA" w:rsidRDefault="0025101B" w:rsidP="00C24BE9">
      <w:pPr>
        <w:pStyle w:val="afb"/>
        <w:numPr>
          <w:ilvl w:val="0"/>
          <w:numId w:val="30"/>
        </w:numPr>
        <w:spacing w:before="120" w:after="120"/>
        <w:jc w:val="both"/>
        <w:rPr>
          <w:rFonts w:eastAsia="Times New Roman" w:cs="Times New Roman"/>
          <w:lang w:val="ru-RU" w:eastAsia="de-DE"/>
        </w:rPr>
      </w:pPr>
      <w:r>
        <w:rPr>
          <w:rFonts w:eastAsia="Times New Roman" w:cs="Times New Roman"/>
          <w:lang w:val="ru-RU" w:eastAsia="de-DE"/>
        </w:rPr>
        <w:t xml:space="preserve">Проводит консультации с </w:t>
      </w:r>
      <w:r w:rsidR="003B171E">
        <w:rPr>
          <w:rFonts w:eastAsia="Times New Roman" w:cs="Times New Roman"/>
          <w:lang w:val="ru-RU" w:eastAsia="de-DE"/>
        </w:rPr>
        <w:t xml:space="preserve"> </w:t>
      </w:r>
      <w:r>
        <w:rPr>
          <w:rFonts w:eastAsia="Times New Roman" w:cs="Times New Roman"/>
          <w:lang w:val="ru-RU" w:eastAsia="de-DE"/>
        </w:rPr>
        <w:t>заинтересованными сторонами;</w:t>
      </w:r>
    </w:p>
    <w:p w:rsidR="00C24BE9" w:rsidRPr="00DC37FA" w:rsidRDefault="00C24BE9" w:rsidP="00C24BE9">
      <w:pPr>
        <w:pStyle w:val="afb"/>
        <w:numPr>
          <w:ilvl w:val="0"/>
          <w:numId w:val="30"/>
        </w:numPr>
        <w:spacing w:before="120" w:after="120"/>
        <w:jc w:val="both"/>
        <w:rPr>
          <w:rFonts w:eastAsia="Times New Roman" w:cs="Times New Roman"/>
          <w:lang w:val="ru-RU" w:eastAsia="de-DE"/>
        </w:rPr>
      </w:pPr>
      <w:r w:rsidRPr="00DC37FA">
        <w:rPr>
          <w:rFonts w:eastAsia="Times New Roman" w:cs="Times New Roman"/>
          <w:lang w:val="ru-RU" w:eastAsia="de-DE"/>
        </w:rPr>
        <w:t>Проводит полевые аудиты поставщика и всей цепочки поставок древесины (выборо</w:t>
      </w:r>
      <w:r w:rsidRPr="00DC37FA">
        <w:rPr>
          <w:rFonts w:eastAsia="Times New Roman" w:cs="Times New Roman"/>
          <w:lang w:val="ru-RU" w:eastAsia="de-DE"/>
        </w:rPr>
        <w:t>ч</w:t>
      </w:r>
      <w:r w:rsidRPr="00DC37FA">
        <w:rPr>
          <w:rFonts w:eastAsia="Times New Roman" w:cs="Times New Roman"/>
          <w:lang w:val="ru-RU" w:eastAsia="de-DE"/>
        </w:rPr>
        <w:t xml:space="preserve">но); </w:t>
      </w:r>
    </w:p>
    <w:p w:rsidR="00C24BE9" w:rsidRPr="00DC37FA" w:rsidRDefault="00C24BE9" w:rsidP="00C24BE9">
      <w:pPr>
        <w:pStyle w:val="afb"/>
        <w:numPr>
          <w:ilvl w:val="0"/>
          <w:numId w:val="30"/>
        </w:numPr>
        <w:spacing w:before="120" w:after="120"/>
        <w:jc w:val="both"/>
        <w:rPr>
          <w:rFonts w:eastAsia="Times New Roman" w:cs="Times New Roman"/>
          <w:lang w:val="ru-RU" w:eastAsia="de-DE"/>
        </w:rPr>
      </w:pPr>
      <w:r w:rsidRPr="00DC37FA">
        <w:rPr>
          <w:rFonts w:eastAsia="Times New Roman" w:cs="Times New Roman"/>
          <w:lang w:val="ru-RU" w:eastAsia="de-DE"/>
        </w:rPr>
        <w:t>При выявлении нарушений, Предприятие принимает решение о назначении коррект</w:t>
      </w:r>
      <w:r w:rsidRPr="00DC37FA">
        <w:rPr>
          <w:rFonts w:eastAsia="Times New Roman" w:cs="Times New Roman"/>
          <w:lang w:val="ru-RU" w:eastAsia="de-DE"/>
        </w:rPr>
        <w:t>и</w:t>
      </w:r>
      <w:r w:rsidRPr="00DC37FA">
        <w:rPr>
          <w:rFonts w:eastAsia="Times New Roman" w:cs="Times New Roman"/>
          <w:lang w:val="ru-RU" w:eastAsia="de-DE"/>
        </w:rPr>
        <w:t xml:space="preserve">рующих мер с контролем их выполнения, либо решении о приостановке поставок и расторжения договора поставки.  </w:t>
      </w:r>
    </w:p>
    <w:p w:rsidR="002509A0" w:rsidRDefault="002509A0" w:rsidP="002509A0">
      <w:pPr>
        <w:spacing w:after="120"/>
        <w:jc w:val="both"/>
        <w:rPr>
          <w:lang w:val="ru-RU"/>
        </w:rPr>
      </w:pPr>
    </w:p>
    <w:p w:rsidR="002509A0" w:rsidRPr="002509A0" w:rsidRDefault="002509A0" w:rsidP="002509A0">
      <w:pPr>
        <w:spacing w:after="120"/>
        <w:jc w:val="both"/>
        <w:rPr>
          <w:lang w:val="ru-RU"/>
        </w:rPr>
      </w:pPr>
      <w:r>
        <w:t>DDS</w:t>
      </w:r>
      <w:r w:rsidRPr="002509A0">
        <w:rPr>
          <w:lang w:val="ru-RU"/>
        </w:rPr>
        <w:t xml:space="preserve"> разработана при участии экспертной организацией </w:t>
      </w:r>
      <w:r w:rsidRPr="002509A0">
        <w:rPr>
          <w:b/>
          <w:lang w:val="ru-RU"/>
        </w:rPr>
        <w:t>ООО «Группа «АПЭКС»</w:t>
      </w:r>
      <w:r w:rsidRPr="002509A0">
        <w:rPr>
          <w:lang w:val="ru-RU"/>
        </w:rPr>
        <w:t xml:space="preserve"> (</w:t>
      </w:r>
      <w:hyperlink r:id="rId9" w:history="1">
        <w:r w:rsidRPr="00283614">
          <w:rPr>
            <w:rStyle w:val="afa"/>
          </w:rPr>
          <w:t>www</w:t>
        </w:r>
        <w:r w:rsidRPr="002509A0">
          <w:rPr>
            <w:rStyle w:val="afa"/>
            <w:lang w:val="ru-RU"/>
          </w:rPr>
          <w:t>.</w:t>
        </w:r>
        <w:r w:rsidRPr="00283614">
          <w:rPr>
            <w:rStyle w:val="afa"/>
          </w:rPr>
          <w:t>apex</w:t>
        </w:r>
        <w:r w:rsidRPr="002509A0">
          <w:rPr>
            <w:rStyle w:val="afa"/>
            <w:lang w:val="ru-RU"/>
          </w:rPr>
          <w:t>-</w:t>
        </w:r>
        <w:r w:rsidRPr="00283614">
          <w:rPr>
            <w:rStyle w:val="afa"/>
          </w:rPr>
          <w:t>g</w:t>
        </w:r>
        <w:r w:rsidRPr="002509A0">
          <w:rPr>
            <w:rStyle w:val="afa"/>
            <w:lang w:val="ru-RU"/>
          </w:rPr>
          <w:t>.</w:t>
        </w:r>
        <w:r w:rsidRPr="00283614">
          <w:rPr>
            <w:rStyle w:val="afa"/>
          </w:rPr>
          <w:t>ru</w:t>
        </w:r>
      </w:hyperlink>
      <w:r w:rsidRPr="002509A0">
        <w:rPr>
          <w:lang w:val="ru-RU"/>
        </w:rPr>
        <w:t xml:space="preserve">), адекватность контрольных мер по 2 и 3 категории контролируемой древесины так же дополнительно определяется в ходе совершенствования системы и проведения консультации с </w:t>
      </w:r>
      <w:r w:rsidR="003B171E">
        <w:rPr>
          <w:lang w:val="ru-RU"/>
        </w:rPr>
        <w:t xml:space="preserve"> </w:t>
      </w:r>
      <w:r w:rsidRPr="002509A0">
        <w:rPr>
          <w:lang w:val="ru-RU"/>
        </w:rPr>
        <w:t xml:space="preserve">заинтересованными сторонами </w:t>
      </w:r>
      <w:r w:rsidRPr="002509A0">
        <w:rPr>
          <w:b/>
          <w:color w:val="FF0000"/>
          <w:lang w:val="ru-RU"/>
        </w:rPr>
        <w:t xml:space="preserve">(6.2 </w:t>
      </w:r>
      <w:r w:rsidRPr="002509A0">
        <w:rPr>
          <w:b/>
          <w:color w:val="FF0000"/>
        </w:rPr>
        <w:t>c</w:t>
      </w:r>
      <w:r w:rsidRPr="002509A0">
        <w:rPr>
          <w:b/>
          <w:color w:val="FF0000"/>
          <w:lang w:val="ru-RU"/>
        </w:rPr>
        <w:t>)</w:t>
      </w:r>
      <w:r w:rsidRPr="002509A0">
        <w:rPr>
          <w:lang w:val="ru-RU"/>
        </w:rPr>
        <w:t>.</w:t>
      </w:r>
    </w:p>
    <w:p w:rsidR="002509A0" w:rsidRPr="00C24BE9" w:rsidRDefault="002509A0">
      <w:pPr>
        <w:rPr>
          <w:lang w:val="ru-RU"/>
        </w:rPr>
      </w:pPr>
    </w:p>
    <w:p w:rsidR="00497083" w:rsidRDefault="00497083" w:rsidP="00A9788E">
      <w:pPr>
        <w:pStyle w:val="2"/>
        <w:numPr>
          <w:ilvl w:val="0"/>
          <w:numId w:val="3"/>
        </w:numPr>
        <w:ind w:left="567" w:hanging="567"/>
        <w:rPr>
          <w:lang w:val="ru-RU"/>
        </w:rPr>
      </w:pPr>
      <w:bookmarkStart w:id="3" w:name="_Toc487455546"/>
      <w:r>
        <w:rPr>
          <w:lang w:val="ru-RU"/>
        </w:rPr>
        <w:lastRenderedPageBreak/>
        <w:t>Область распространения</w:t>
      </w:r>
      <w:bookmarkEnd w:id="3"/>
    </w:p>
    <w:p w:rsidR="00183A1D" w:rsidRDefault="00497083" w:rsidP="00183A1D">
      <w:pPr>
        <w:pStyle w:val="afb"/>
        <w:numPr>
          <w:ilvl w:val="1"/>
          <w:numId w:val="3"/>
        </w:numPr>
        <w:ind w:left="567" w:hanging="567"/>
        <w:jc w:val="both"/>
        <w:rPr>
          <w:lang w:val="ru-RU"/>
        </w:rPr>
      </w:pPr>
      <w:r w:rsidRPr="00587EFB">
        <w:rPr>
          <w:lang w:val="ru-RU"/>
        </w:rPr>
        <w:t xml:space="preserve">Область распространения </w:t>
      </w:r>
      <w:r w:rsidR="0068495A">
        <w:rPr>
          <w:lang w:val="ru-RU"/>
        </w:rPr>
        <w:t xml:space="preserve"> </w:t>
      </w:r>
      <w:r w:rsidRPr="00587EFB">
        <w:rPr>
          <w:lang w:val="ru-RU"/>
        </w:rPr>
        <w:t xml:space="preserve">настоящей </w:t>
      </w:r>
      <w:r w:rsidR="0068495A">
        <w:rPr>
          <w:lang w:val="ru-RU"/>
        </w:rPr>
        <w:t xml:space="preserve"> </w:t>
      </w:r>
      <w:r>
        <w:t>DDS</w:t>
      </w:r>
      <w:r w:rsidR="00E31978">
        <w:rPr>
          <w:lang w:val="ru-RU"/>
        </w:rPr>
        <w:t xml:space="preserve">: </w:t>
      </w:r>
    </w:p>
    <w:p w:rsidR="00E31978" w:rsidRPr="00183A1D" w:rsidRDefault="00183A1D" w:rsidP="00183A1D">
      <w:pPr>
        <w:pStyle w:val="afb"/>
        <w:numPr>
          <w:ilvl w:val="2"/>
          <w:numId w:val="3"/>
        </w:numPr>
        <w:ind w:left="1418" w:hanging="698"/>
        <w:jc w:val="both"/>
        <w:rPr>
          <w:lang w:val="ru-RU"/>
        </w:rPr>
      </w:pPr>
      <w:r w:rsidRPr="00183A1D">
        <w:rPr>
          <w:b/>
          <w:lang w:val="ru-RU"/>
        </w:rPr>
        <w:t xml:space="preserve">АО «Череповецкий фанерно-мебельный комбинат» </w:t>
      </w:r>
      <w:r w:rsidRPr="00183A1D">
        <w:rPr>
          <w:lang w:val="ru-RU"/>
        </w:rPr>
        <w:t xml:space="preserve">(далее «Предприятие»), расположенное по адресу: 162604, Россия, Вологодская область, г. Череповец, ул. Проезжая, 4 </w:t>
      </w:r>
      <w:r w:rsidR="0068495A">
        <w:rPr>
          <w:lang w:val="ru-RU"/>
        </w:rPr>
        <w:t xml:space="preserve"> </w:t>
      </w:r>
      <w:r w:rsidRPr="00183A1D">
        <w:rPr>
          <w:lang w:val="ru-RU"/>
        </w:rPr>
        <w:t>(совпадает с единственной производственной площадкой)</w:t>
      </w:r>
    </w:p>
    <w:p w:rsidR="00497083" w:rsidRPr="00E31978" w:rsidRDefault="00497083" w:rsidP="00E31978">
      <w:pPr>
        <w:ind w:left="567"/>
        <w:jc w:val="both"/>
        <w:rPr>
          <w:lang w:val="ru-RU"/>
        </w:rPr>
      </w:pPr>
      <w:r>
        <w:t>DDS</w:t>
      </w:r>
      <w:r w:rsidRPr="00E31978">
        <w:rPr>
          <w:lang w:val="ru-RU"/>
        </w:rPr>
        <w:t xml:space="preserve"> распространятся на всех поставщиков и субпоставщиков</w:t>
      </w:r>
      <w:r w:rsidR="0068495A">
        <w:rPr>
          <w:lang w:val="ru-RU"/>
        </w:rPr>
        <w:t xml:space="preserve"> </w:t>
      </w:r>
      <w:r w:rsidRPr="00E31978">
        <w:rPr>
          <w:lang w:val="ru-RU"/>
        </w:rPr>
        <w:t xml:space="preserve"> древесного сырья на </w:t>
      </w:r>
      <w:r w:rsidR="00E31978">
        <w:rPr>
          <w:lang w:val="ru-RU"/>
        </w:rPr>
        <w:t>Пре</w:t>
      </w:r>
      <w:r w:rsidR="00E31978">
        <w:rPr>
          <w:lang w:val="ru-RU"/>
        </w:rPr>
        <w:t>д</w:t>
      </w:r>
      <w:r w:rsidR="00E31978">
        <w:rPr>
          <w:lang w:val="ru-RU"/>
        </w:rPr>
        <w:t>приятие</w:t>
      </w:r>
      <w:r w:rsidRPr="00E31978">
        <w:rPr>
          <w:lang w:val="ru-RU"/>
        </w:rPr>
        <w:t xml:space="preserve">, у которых нет действующего сертификата </w:t>
      </w:r>
      <w:r>
        <w:t>FSC</w:t>
      </w:r>
      <w:r w:rsidRPr="00E31978">
        <w:rPr>
          <w:lang w:val="ru-RU"/>
        </w:rPr>
        <w:t xml:space="preserve"> (</w:t>
      </w:r>
      <w:r>
        <w:t>Forest</w:t>
      </w:r>
      <w:r w:rsidR="0068495A">
        <w:rPr>
          <w:lang w:val="ru-RU"/>
        </w:rPr>
        <w:t xml:space="preserve"> </w:t>
      </w:r>
      <w:r>
        <w:t>Stewardship</w:t>
      </w:r>
      <w:r w:rsidR="0068495A">
        <w:rPr>
          <w:lang w:val="ru-RU"/>
        </w:rPr>
        <w:t xml:space="preserve"> </w:t>
      </w:r>
      <w:r>
        <w:t>Council</w:t>
      </w:r>
      <w:r w:rsidRPr="00E31978">
        <w:rPr>
          <w:lang w:val="ru-RU"/>
        </w:rPr>
        <w:t xml:space="preserve"> – Ле</w:t>
      </w:r>
      <w:r w:rsidRPr="00E31978">
        <w:rPr>
          <w:lang w:val="ru-RU"/>
        </w:rPr>
        <w:t>с</w:t>
      </w:r>
      <w:r w:rsidRPr="00E31978">
        <w:rPr>
          <w:lang w:val="ru-RU"/>
        </w:rPr>
        <w:t>ного Попечительского Совета).</w:t>
      </w:r>
    </w:p>
    <w:p w:rsidR="00497083" w:rsidRPr="00F85DC3" w:rsidRDefault="00497083" w:rsidP="004A6C40">
      <w:pPr>
        <w:pStyle w:val="afb"/>
        <w:numPr>
          <w:ilvl w:val="1"/>
          <w:numId w:val="3"/>
        </w:numPr>
        <w:ind w:left="567" w:hanging="567"/>
        <w:jc w:val="both"/>
        <w:rPr>
          <w:lang w:val="ru-RU"/>
        </w:rPr>
      </w:pPr>
      <w:r w:rsidRPr="00587EFB">
        <w:rPr>
          <w:lang w:val="ru-RU"/>
        </w:rPr>
        <w:t>Данная</w:t>
      </w:r>
      <w:r w:rsidR="0068495A">
        <w:rPr>
          <w:lang w:val="ru-RU"/>
        </w:rPr>
        <w:t xml:space="preserve"> </w:t>
      </w:r>
      <w:r w:rsidRPr="00587EFB">
        <w:rPr>
          <w:lang w:val="ru-RU"/>
        </w:rPr>
        <w:t xml:space="preserve"> </w:t>
      </w:r>
      <w:r>
        <w:t>DDS</w:t>
      </w:r>
      <w:r w:rsidR="0068495A">
        <w:rPr>
          <w:lang w:val="ru-RU"/>
        </w:rPr>
        <w:t xml:space="preserve"> </w:t>
      </w:r>
      <w:r w:rsidRPr="00587EFB">
        <w:rPr>
          <w:u w:val="single"/>
          <w:lang w:val="ru-RU"/>
        </w:rPr>
        <w:t xml:space="preserve">не </w:t>
      </w:r>
      <w:r w:rsidR="0068495A">
        <w:rPr>
          <w:u w:val="single"/>
          <w:lang w:val="ru-RU"/>
        </w:rPr>
        <w:t xml:space="preserve"> </w:t>
      </w:r>
      <w:r w:rsidRPr="00587EFB">
        <w:rPr>
          <w:u w:val="single"/>
          <w:lang w:val="ru-RU"/>
        </w:rPr>
        <w:t>распространяется</w:t>
      </w:r>
      <w:r w:rsidRPr="00587EFB">
        <w:rPr>
          <w:lang w:val="ru-RU"/>
        </w:rPr>
        <w:t xml:space="preserve"> на собственные лесные ресурсы (находящиеся в со</w:t>
      </w:r>
      <w:r w:rsidRPr="00587EFB">
        <w:rPr>
          <w:lang w:val="ru-RU"/>
        </w:rPr>
        <w:t>б</w:t>
      </w:r>
      <w:r w:rsidRPr="00587EFB">
        <w:rPr>
          <w:lang w:val="ru-RU"/>
        </w:rPr>
        <w:t xml:space="preserve">ственности или управлении напрямую, или через </w:t>
      </w:r>
      <w:r w:rsidR="0068495A">
        <w:rPr>
          <w:lang w:val="ru-RU"/>
        </w:rPr>
        <w:t xml:space="preserve"> </w:t>
      </w:r>
      <w:r w:rsidRPr="00587EFB">
        <w:rPr>
          <w:lang w:val="ru-RU"/>
        </w:rPr>
        <w:t xml:space="preserve">дочерние </w:t>
      </w:r>
      <w:r w:rsidR="0068495A">
        <w:rPr>
          <w:lang w:val="ru-RU"/>
        </w:rPr>
        <w:t xml:space="preserve"> </w:t>
      </w:r>
      <w:r w:rsidRPr="00587EFB">
        <w:rPr>
          <w:lang w:val="ru-RU"/>
        </w:rPr>
        <w:t>структуры)</w:t>
      </w:r>
      <w:r>
        <w:rPr>
          <w:lang w:val="ru-RU"/>
        </w:rPr>
        <w:t xml:space="preserve">. </w:t>
      </w:r>
      <w:r w:rsidRPr="00587EFB">
        <w:rPr>
          <w:b/>
          <w:color w:val="FF0000"/>
          <w:lang w:val="ru-RU"/>
        </w:rPr>
        <w:t>(1.4)</w:t>
      </w:r>
      <w:r>
        <w:rPr>
          <w:b/>
          <w:color w:val="FF0000"/>
          <w:lang w:val="ru-RU"/>
        </w:rPr>
        <w:t>.</w:t>
      </w:r>
    </w:p>
    <w:p w:rsidR="00F85DC3" w:rsidRDefault="00F85DC3" w:rsidP="00F85DC3">
      <w:pPr>
        <w:jc w:val="both"/>
        <w:rPr>
          <w:lang w:val="ru-RU"/>
        </w:rPr>
      </w:pPr>
    </w:p>
    <w:p w:rsidR="00F85DC3" w:rsidRDefault="00F85DC3" w:rsidP="00F85DC3">
      <w:pPr>
        <w:pStyle w:val="2"/>
        <w:numPr>
          <w:ilvl w:val="0"/>
          <w:numId w:val="3"/>
        </w:numPr>
        <w:ind w:left="567" w:hanging="567"/>
        <w:rPr>
          <w:lang w:val="ru-RU"/>
        </w:rPr>
      </w:pPr>
      <w:bookmarkStart w:id="4" w:name="_Toc487455547"/>
      <w:r>
        <w:rPr>
          <w:lang w:val="ru-RU"/>
        </w:rPr>
        <w:lastRenderedPageBreak/>
        <w:t>Оценка рисков (3)</w:t>
      </w:r>
      <w:bookmarkEnd w:id="4"/>
    </w:p>
    <w:p w:rsidR="00F85DC3" w:rsidRDefault="00F85DC3" w:rsidP="00B26561">
      <w:pPr>
        <w:pStyle w:val="afb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lang w:val="ru-RU"/>
        </w:rPr>
      </w:pPr>
      <w:r w:rsidRPr="00156F1D">
        <w:rPr>
          <w:lang w:val="ru-RU"/>
        </w:rPr>
        <w:t xml:space="preserve">В качестве основы своей оценки рисков, Предприятие использует национальную оценку рисков в отношении контролируемой древесины Лесного попечительского совета FSC-CW-RA-015-RU V2-0 </w:t>
      </w:r>
      <w:r w:rsidR="000D52C4">
        <w:rPr>
          <w:lang w:val="ru-RU"/>
        </w:rPr>
        <w:t xml:space="preserve"> </w:t>
      </w:r>
      <w:r w:rsidRPr="00156F1D">
        <w:rPr>
          <w:lang w:val="ru-RU"/>
        </w:rPr>
        <w:t>аккредитованную 20.07.2015 года.</w:t>
      </w:r>
    </w:p>
    <w:p w:rsidR="00F85DC3" w:rsidRDefault="00F85DC3" w:rsidP="00B26561">
      <w:pPr>
        <w:pStyle w:val="afb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lang w:val="ru-RU"/>
        </w:rPr>
      </w:pPr>
      <w:r w:rsidRPr="001A1FBD">
        <w:rPr>
          <w:lang w:val="ru-RU"/>
        </w:rPr>
        <w:t xml:space="preserve">Результаты оценки рисков предприятия и разработанные контрольные меры </w:t>
      </w:r>
      <w:r>
        <w:rPr>
          <w:lang w:val="ru-RU"/>
        </w:rPr>
        <w:t xml:space="preserve">и действия предприятия </w:t>
      </w:r>
      <w:r w:rsidRPr="001A1FBD">
        <w:rPr>
          <w:lang w:val="ru-RU"/>
        </w:rPr>
        <w:t xml:space="preserve">приведены в </w:t>
      </w:r>
      <w:r w:rsidRPr="001A1FBD">
        <w:rPr>
          <w:b/>
          <w:lang w:val="ru-RU"/>
        </w:rPr>
        <w:t>Приложении 1</w:t>
      </w:r>
      <w:r w:rsidRPr="001A1FBD">
        <w:rPr>
          <w:lang w:val="ru-RU"/>
        </w:rPr>
        <w:t xml:space="preserve"> </w:t>
      </w:r>
      <w:r w:rsidR="000D52C4">
        <w:rPr>
          <w:lang w:val="ru-RU"/>
        </w:rPr>
        <w:t xml:space="preserve"> </w:t>
      </w:r>
      <w:r w:rsidRPr="001A1FBD">
        <w:rPr>
          <w:lang w:val="ru-RU"/>
        </w:rPr>
        <w:t xml:space="preserve">к настоящей </w:t>
      </w:r>
      <w:r>
        <w:t>DDS</w:t>
      </w:r>
      <w:r w:rsidRPr="00F85DC3">
        <w:rPr>
          <w:lang w:val="ru-RU"/>
        </w:rPr>
        <w:t>.</w:t>
      </w:r>
    </w:p>
    <w:p w:rsidR="00F85DC3" w:rsidRPr="001A1FBD" w:rsidRDefault="00B26561" w:rsidP="00B26561">
      <w:pPr>
        <w:pStyle w:val="afb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lang w:val="ru-RU"/>
        </w:rPr>
      </w:pPr>
      <w:r>
        <w:rPr>
          <w:lang w:val="ru-RU"/>
        </w:rPr>
        <w:t>По всем рискам</w:t>
      </w:r>
      <w:r w:rsidR="00F85DC3">
        <w:rPr>
          <w:lang w:val="ru-RU"/>
        </w:rPr>
        <w:t xml:space="preserve">, </w:t>
      </w:r>
      <w:r>
        <w:rPr>
          <w:lang w:val="ru-RU"/>
        </w:rPr>
        <w:t>признанным</w:t>
      </w:r>
      <w:r w:rsidR="00F85DC3">
        <w:rPr>
          <w:lang w:val="ru-RU"/>
        </w:rPr>
        <w:t xml:space="preserve"> по результатам оценки определенными, Предприятие внедряет и выполняет контрольные меры по снижению. </w:t>
      </w:r>
      <w:r>
        <w:rPr>
          <w:lang w:val="ru-RU"/>
        </w:rPr>
        <w:t xml:space="preserve">Описание контрольных мер и действий </w:t>
      </w:r>
      <w:r w:rsidR="000D52C4">
        <w:rPr>
          <w:lang w:val="ru-RU"/>
        </w:rPr>
        <w:t xml:space="preserve"> </w:t>
      </w:r>
      <w:r>
        <w:rPr>
          <w:lang w:val="ru-RU"/>
        </w:rPr>
        <w:t xml:space="preserve">предприятия </w:t>
      </w:r>
      <w:r w:rsidR="000D52C4">
        <w:rPr>
          <w:lang w:val="ru-RU"/>
        </w:rPr>
        <w:t xml:space="preserve"> </w:t>
      </w:r>
      <w:r>
        <w:rPr>
          <w:lang w:val="ru-RU"/>
        </w:rPr>
        <w:t>приводится в Приложении 1</w:t>
      </w:r>
      <w:r w:rsidR="000D52C4">
        <w:rPr>
          <w:lang w:val="ru-RU"/>
        </w:rPr>
        <w:t xml:space="preserve"> </w:t>
      </w:r>
      <w:r>
        <w:rPr>
          <w:lang w:val="ru-RU"/>
        </w:rPr>
        <w:t xml:space="preserve"> к </w:t>
      </w:r>
      <w:r w:rsidR="000D52C4">
        <w:rPr>
          <w:lang w:val="ru-RU"/>
        </w:rPr>
        <w:t xml:space="preserve"> </w:t>
      </w:r>
      <w:r>
        <w:rPr>
          <w:lang w:val="ru-RU"/>
        </w:rPr>
        <w:t xml:space="preserve">настоящей </w:t>
      </w:r>
      <w:r>
        <w:t>DDS</w:t>
      </w:r>
      <w:r w:rsidRPr="00B26561">
        <w:rPr>
          <w:lang w:val="ru-RU"/>
        </w:rPr>
        <w:t>.</w:t>
      </w:r>
    </w:p>
    <w:p w:rsidR="00F85DC3" w:rsidRPr="00F85DC3" w:rsidRDefault="00F85DC3" w:rsidP="00F85DC3">
      <w:pPr>
        <w:jc w:val="both"/>
        <w:rPr>
          <w:lang w:val="ru-RU"/>
        </w:rPr>
      </w:pPr>
    </w:p>
    <w:p w:rsidR="004143E3" w:rsidRDefault="004143E3" w:rsidP="00A9788E">
      <w:pPr>
        <w:pStyle w:val="2"/>
        <w:numPr>
          <w:ilvl w:val="0"/>
          <w:numId w:val="3"/>
        </w:numPr>
        <w:ind w:left="567" w:hanging="567"/>
        <w:rPr>
          <w:lang w:val="ru-RU"/>
        </w:rPr>
      </w:pPr>
      <w:bookmarkStart w:id="5" w:name="_Toc487455548"/>
      <w:r>
        <w:rPr>
          <w:lang w:val="ru-RU"/>
        </w:rPr>
        <w:lastRenderedPageBreak/>
        <w:t>Система отбора и контроля поставщиков</w:t>
      </w:r>
      <w:bookmarkEnd w:id="5"/>
    </w:p>
    <w:p w:rsidR="004143E3" w:rsidRPr="004143E3" w:rsidRDefault="004143E3" w:rsidP="00A9788E">
      <w:pPr>
        <w:pStyle w:val="afb"/>
        <w:numPr>
          <w:ilvl w:val="1"/>
          <w:numId w:val="3"/>
        </w:numPr>
        <w:ind w:left="567" w:hanging="567"/>
        <w:jc w:val="both"/>
        <w:rPr>
          <w:lang w:val="ru-RU"/>
        </w:rPr>
      </w:pPr>
      <w:r>
        <w:rPr>
          <w:lang w:val="ru-RU"/>
        </w:rPr>
        <w:t xml:space="preserve">Каждый поставщик, который поставляет сырье на Предприятие, должен быть одобрен по системе, установленной этой </w:t>
      </w:r>
      <w:r>
        <w:t>DDS</w:t>
      </w:r>
      <w:r w:rsidRPr="004143E3">
        <w:rPr>
          <w:lang w:val="ru-RU"/>
        </w:rPr>
        <w:t>.</w:t>
      </w:r>
      <w:r w:rsidR="00497083">
        <w:rPr>
          <w:lang w:val="ru-RU"/>
        </w:rPr>
        <w:t xml:space="preserve"> Оценка проходит </w:t>
      </w:r>
      <w:r w:rsidR="00A30393">
        <w:rPr>
          <w:lang w:val="ru-RU"/>
        </w:rPr>
        <w:t>согласно оценке риска</w:t>
      </w:r>
      <w:r w:rsidR="00497083">
        <w:rPr>
          <w:lang w:val="ru-RU"/>
        </w:rPr>
        <w:t>, как пок</w:t>
      </w:r>
      <w:r w:rsidR="00497083">
        <w:rPr>
          <w:lang w:val="ru-RU"/>
        </w:rPr>
        <w:t>а</w:t>
      </w:r>
      <w:r w:rsidR="00497083">
        <w:rPr>
          <w:lang w:val="ru-RU"/>
        </w:rPr>
        <w:t xml:space="preserve">зано на </w:t>
      </w:r>
      <w:r w:rsidR="00497083" w:rsidRPr="004143E3">
        <w:rPr>
          <w:lang w:val="ru-RU"/>
        </w:rPr>
        <w:t>схеме</w:t>
      </w:r>
      <w:r w:rsidR="00497083">
        <w:rPr>
          <w:lang w:val="ru-RU"/>
        </w:rPr>
        <w:t xml:space="preserve"> ниже:</w:t>
      </w:r>
    </w:p>
    <w:p w:rsidR="004143E3" w:rsidRPr="004143E3" w:rsidRDefault="004143E3" w:rsidP="004A6C40">
      <w:pPr>
        <w:jc w:val="both"/>
        <w:rPr>
          <w:lang w:val="ru-RU"/>
        </w:rPr>
      </w:pPr>
    </w:p>
    <w:p w:rsidR="00C1322C" w:rsidRDefault="00A30393" w:rsidP="004A6C40">
      <w:pPr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81675" cy="5140636"/>
            <wp:effectExtent l="0" t="0" r="0" b="0"/>
            <wp:docPr id="3" name="Рисунок 3" descr="C:\Users\Konstantin Agamirzov\Google Drive\APEX\APEX_IN\01_КЛИЕНТЫ\CFMK_ООО_ЧФМК_(35)\05_DDS\01_Карты_схемы\Схема_DD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tantin Agamirzov\Google Drive\APEX\APEX_IN\01_КЛИЕНТЫ\CFMK_ООО_ЧФМК_(35)\05_DDS\01_Карты_схемы\Схема_DDS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967" t="13438" r="12127" b="13787"/>
                    <a:stretch/>
                  </pic:blipFill>
                  <pic:spPr bwMode="auto">
                    <a:xfrm>
                      <a:off x="0" y="0"/>
                      <a:ext cx="5785441" cy="514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7564" w:rsidRDefault="00B87564" w:rsidP="004A6C40">
      <w:pPr>
        <w:jc w:val="both"/>
        <w:rPr>
          <w:lang w:val="ru-RU"/>
        </w:rPr>
      </w:pPr>
    </w:p>
    <w:p w:rsidR="001D5811" w:rsidRDefault="001D5811" w:rsidP="00A9788E">
      <w:pPr>
        <w:pStyle w:val="afb"/>
        <w:numPr>
          <w:ilvl w:val="1"/>
          <w:numId w:val="3"/>
        </w:numPr>
        <w:ind w:left="567" w:hanging="567"/>
        <w:jc w:val="both"/>
        <w:rPr>
          <w:lang w:val="ru-RU"/>
        </w:rPr>
      </w:pPr>
      <w:r>
        <w:rPr>
          <w:lang w:val="ru-RU"/>
        </w:rPr>
        <w:t xml:space="preserve">Каждое юридическое лицо, заключающее договор с Предприятием на </w:t>
      </w:r>
      <w:r w:rsidR="00D343D8">
        <w:rPr>
          <w:lang w:val="ru-RU"/>
        </w:rPr>
        <w:t xml:space="preserve">поставку </w:t>
      </w:r>
      <w:r w:rsidR="00D343D8" w:rsidRPr="00D343D8">
        <w:rPr>
          <w:lang w:val="ru-RU"/>
        </w:rPr>
        <w:t>лесом</w:t>
      </w:r>
      <w:r w:rsidR="00D343D8" w:rsidRPr="00D343D8">
        <w:rPr>
          <w:lang w:val="ru-RU"/>
        </w:rPr>
        <w:t>а</w:t>
      </w:r>
      <w:r w:rsidR="00D343D8" w:rsidRPr="00D343D8">
        <w:rPr>
          <w:lang w:val="ru-RU"/>
        </w:rPr>
        <w:t>териалов</w:t>
      </w:r>
      <w:r>
        <w:rPr>
          <w:lang w:val="ru-RU"/>
        </w:rPr>
        <w:t xml:space="preserve"> является </w:t>
      </w:r>
      <w:r w:rsidR="008C42AF">
        <w:rPr>
          <w:lang w:val="ru-RU"/>
        </w:rPr>
        <w:t>П</w:t>
      </w:r>
      <w:r>
        <w:rPr>
          <w:lang w:val="ru-RU"/>
        </w:rPr>
        <w:t>оставщиком.</w:t>
      </w:r>
      <w:r w:rsidR="008C42AF">
        <w:rPr>
          <w:lang w:val="ru-RU"/>
        </w:rPr>
        <w:t xml:space="preserve"> В это понятие так же вкладываются все субпоставщики по </w:t>
      </w:r>
      <w:r w:rsidR="004A51C3">
        <w:rPr>
          <w:lang w:val="ru-RU"/>
        </w:rPr>
        <w:t>его</w:t>
      </w:r>
      <w:r w:rsidR="008C42AF">
        <w:rPr>
          <w:lang w:val="ru-RU"/>
        </w:rPr>
        <w:t xml:space="preserve"> цепочке и конечный договор аренды лесного участка (один или несколько) и/или договор купли-продажи древесины на корню (один или несколько) с которых осущест</w:t>
      </w:r>
      <w:r w:rsidR="008C42AF">
        <w:rPr>
          <w:lang w:val="ru-RU"/>
        </w:rPr>
        <w:t>в</w:t>
      </w:r>
      <w:r w:rsidR="008C42AF">
        <w:rPr>
          <w:lang w:val="ru-RU"/>
        </w:rPr>
        <w:t>ляется поставка</w:t>
      </w:r>
      <w:r w:rsidR="00F664B6">
        <w:rPr>
          <w:lang w:val="ru-RU"/>
        </w:rPr>
        <w:t xml:space="preserve"> </w:t>
      </w:r>
      <w:r w:rsidR="00BB6A5B">
        <w:rPr>
          <w:lang w:val="ru-RU"/>
        </w:rPr>
        <w:t>лесоматериалов</w:t>
      </w:r>
      <w:r w:rsidR="008C42AF">
        <w:rPr>
          <w:lang w:val="ru-RU"/>
        </w:rPr>
        <w:t>.</w:t>
      </w:r>
      <w:r w:rsidR="00F664B6">
        <w:rPr>
          <w:lang w:val="ru-RU"/>
        </w:rPr>
        <w:t xml:space="preserve"> </w:t>
      </w:r>
      <w:r w:rsidR="008C42AF">
        <w:rPr>
          <w:lang w:val="ru-RU"/>
        </w:rPr>
        <w:t xml:space="preserve">Схематично </w:t>
      </w:r>
      <w:r w:rsidR="004A51C3">
        <w:rPr>
          <w:lang w:val="ru-RU"/>
        </w:rPr>
        <w:t>возможные варианты структуры п</w:t>
      </w:r>
      <w:r w:rsidR="008C42AF">
        <w:rPr>
          <w:lang w:val="ru-RU"/>
        </w:rPr>
        <w:t>оста</w:t>
      </w:r>
      <w:r w:rsidR="008C42AF">
        <w:rPr>
          <w:lang w:val="ru-RU"/>
        </w:rPr>
        <w:t>в</w:t>
      </w:r>
      <w:r w:rsidR="008C42AF">
        <w:rPr>
          <w:lang w:val="ru-RU"/>
        </w:rPr>
        <w:t>щик</w:t>
      </w:r>
      <w:r w:rsidR="004A51C3">
        <w:rPr>
          <w:lang w:val="ru-RU"/>
        </w:rPr>
        <w:t>ов</w:t>
      </w:r>
      <w:r w:rsidR="008C42AF">
        <w:rPr>
          <w:lang w:val="ru-RU"/>
        </w:rPr>
        <w:t xml:space="preserve"> представлен</w:t>
      </w:r>
      <w:r w:rsidR="004A51C3">
        <w:rPr>
          <w:lang w:val="ru-RU"/>
        </w:rPr>
        <w:t>ы</w:t>
      </w:r>
      <w:r w:rsidR="008C42AF">
        <w:rPr>
          <w:lang w:val="ru-RU"/>
        </w:rPr>
        <w:t xml:space="preserve"> на схеме ниже:</w:t>
      </w:r>
    </w:p>
    <w:p w:rsidR="004A51C3" w:rsidRDefault="004A51C3" w:rsidP="004A51C3">
      <w:pPr>
        <w:pStyle w:val="afb"/>
        <w:ind w:left="792"/>
        <w:jc w:val="both"/>
        <w:rPr>
          <w:lang w:val="ru-RU"/>
        </w:rPr>
      </w:pPr>
    </w:p>
    <w:p w:rsidR="004A51C3" w:rsidRPr="004143E3" w:rsidRDefault="004A51C3" w:rsidP="004A51C3">
      <w:pPr>
        <w:pStyle w:val="afb"/>
        <w:ind w:left="0"/>
        <w:jc w:val="both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732145" cy="297497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хема_Поставщики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3D8" w:rsidRDefault="00D343D8" w:rsidP="00D343D8">
      <w:pPr>
        <w:pStyle w:val="afb"/>
        <w:spacing w:before="360"/>
        <w:ind w:left="788"/>
        <w:jc w:val="both"/>
        <w:rPr>
          <w:lang w:val="ru-RU"/>
        </w:rPr>
      </w:pPr>
    </w:p>
    <w:p w:rsidR="00D343D8" w:rsidRDefault="00D343D8" w:rsidP="00D343D8">
      <w:pPr>
        <w:pStyle w:val="afb"/>
        <w:spacing w:before="360"/>
        <w:ind w:left="788"/>
        <w:jc w:val="both"/>
        <w:rPr>
          <w:lang w:val="ru-RU"/>
        </w:rPr>
      </w:pPr>
    </w:p>
    <w:p w:rsidR="00A9788E" w:rsidRPr="008F1B01" w:rsidRDefault="00A9788E" w:rsidP="00A9788E">
      <w:pPr>
        <w:pStyle w:val="afb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lang w:val="ru-RU"/>
        </w:rPr>
      </w:pPr>
      <w:r w:rsidRPr="008F1B01">
        <w:rPr>
          <w:lang w:val="ru-RU"/>
        </w:rPr>
        <w:t>Все поставщики лесоматериалов длятся на FSC сертифицированных и FSC несертифиц</w:t>
      </w:r>
      <w:r w:rsidRPr="008F1B01">
        <w:rPr>
          <w:lang w:val="ru-RU"/>
        </w:rPr>
        <w:t>и</w:t>
      </w:r>
      <w:r w:rsidRPr="008F1B01">
        <w:rPr>
          <w:lang w:val="ru-RU"/>
        </w:rPr>
        <w:t xml:space="preserve">рованных поставщиков. Предметом настоящего руководства являются </w:t>
      </w:r>
      <w:r w:rsidRPr="008F1B01">
        <w:rPr>
          <w:u w:val="single"/>
          <w:lang w:val="ru-RU"/>
        </w:rPr>
        <w:t>только FSC несе</w:t>
      </w:r>
      <w:r w:rsidRPr="008F1B01">
        <w:rPr>
          <w:u w:val="single"/>
          <w:lang w:val="ru-RU"/>
        </w:rPr>
        <w:t>р</w:t>
      </w:r>
      <w:r w:rsidRPr="008F1B01">
        <w:rPr>
          <w:u w:val="single"/>
          <w:lang w:val="ru-RU"/>
        </w:rPr>
        <w:t xml:space="preserve">тифицированные </w:t>
      </w:r>
      <w:r w:rsidR="00F664B6">
        <w:rPr>
          <w:u w:val="single"/>
          <w:lang w:val="ru-RU"/>
        </w:rPr>
        <w:t xml:space="preserve"> </w:t>
      </w:r>
      <w:r w:rsidRPr="008F1B01">
        <w:rPr>
          <w:u w:val="single"/>
          <w:lang w:val="ru-RU"/>
        </w:rPr>
        <w:t>поставщики</w:t>
      </w:r>
      <w:r w:rsidRPr="008F1B01">
        <w:rPr>
          <w:lang w:val="ru-RU"/>
        </w:rPr>
        <w:t xml:space="preserve">. </w:t>
      </w:r>
      <w:r w:rsidR="00F664B6">
        <w:rPr>
          <w:lang w:val="ru-RU"/>
        </w:rPr>
        <w:t xml:space="preserve"> </w:t>
      </w:r>
      <w:r w:rsidR="00AE4EE0" w:rsidRPr="008F1B01">
        <w:rPr>
          <w:lang w:val="ru-RU"/>
        </w:rPr>
        <w:t>FSC сертифицированные поставщики подтверждают к</w:t>
      </w:r>
      <w:r w:rsidR="00AE4EE0" w:rsidRPr="008F1B01">
        <w:rPr>
          <w:lang w:val="ru-RU"/>
        </w:rPr>
        <w:t>а</w:t>
      </w:r>
      <w:r w:rsidR="00AE4EE0" w:rsidRPr="008F1B01">
        <w:rPr>
          <w:lang w:val="ru-RU"/>
        </w:rPr>
        <w:t xml:space="preserve">тегорию поставляемых лесоматериалов своим FSC сертификатом и в дополнительных проверках </w:t>
      </w:r>
      <w:r w:rsidR="00F664B6">
        <w:rPr>
          <w:lang w:val="ru-RU"/>
        </w:rPr>
        <w:t xml:space="preserve"> </w:t>
      </w:r>
      <w:r w:rsidR="00AE4EE0" w:rsidRPr="008F1B01">
        <w:rPr>
          <w:lang w:val="ru-RU"/>
        </w:rPr>
        <w:t xml:space="preserve">не нуждаются. </w:t>
      </w:r>
    </w:p>
    <w:p w:rsidR="000641FB" w:rsidRDefault="000641FB" w:rsidP="000641FB">
      <w:pPr>
        <w:pStyle w:val="2"/>
        <w:numPr>
          <w:ilvl w:val="0"/>
          <w:numId w:val="3"/>
        </w:numPr>
        <w:rPr>
          <w:lang w:val="ru-RU"/>
        </w:rPr>
      </w:pPr>
      <w:bookmarkStart w:id="6" w:name="_Toc487455549"/>
      <w:r>
        <w:rPr>
          <w:lang w:val="ru-RU"/>
        </w:rPr>
        <w:lastRenderedPageBreak/>
        <w:t>Требование к договорам поставки (общая контрольная мера)</w:t>
      </w:r>
      <w:bookmarkEnd w:id="6"/>
    </w:p>
    <w:p w:rsidR="000641FB" w:rsidRDefault="000641FB" w:rsidP="000641FB">
      <w:pPr>
        <w:pStyle w:val="afb"/>
        <w:ind w:left="567" w:hanging="567"/>
        <w:rPr>
          <w:lang w:val="ru-RU"/>
        </w:rPr>
      </w:pPr>
    </w:p>
    <w:p w:rsidR="000641FB" w:rsidRPr="00483023" w:rsidRDefault="000641FB" w:rsidP="000641FB">
      <w:pPr>
        <w:pStyle w:val="afb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lang w:val="ru-RU"/>
        </w:rPr>
      </w:pPr>
      <w:r w:rsidRPr="00587EFB">
        <w:rPr>
          <w:lang w:val="ru-RU"/>
        </w:rPr>
        <w:t>Предприятие должно обеспечить для себя, своего органа по сертификации и организ</w:t>
      </w:r>
      <w:r w:rsidRPr="00587EFB">
        <w:rPr>
          <w:lang w:val="ru-RU"/>
        </w:rPr>
        <w:t>а</w:t>
      </w:r>
      <w:r w:rsidRPr="00587EFB">
        <w:rPr>
          <w:lang w:val="ru-RU"/>
        </w:rPr>
        <w:t>ции по аккредитации (</w:t>
      </w:r>
      <w:r>
        <w:t>Accreditation</w:t>
      </w:r>
      <w:r w:rsidR="00743F06">
        <w:rPr>
          <w:lang w:val="ru-RU"/>
        </w:rPr>
        <w:t xml:space="preserve"> </w:t>
      </w:r>
      <w:r>
        <w:t>Services</w:t>
      </w:r>
      <w:r w:rsidR="00743F06">
        <w:rPr>
          <w:lang w:val="ru-RU"/>
        </w:rPr>
        <w:t xml:space="preserve"> </w:t>
      </w:r>
      <w:r>
        <w:t>International</w:t>
      </w:r>
      <w:r w:rsidR="00743F06">
        <w:rPr>
          <w:lang w:val="ru-RU"/>
        </w:rPr>
        <w:t xml:space="preserve"> </w:t>
      </w:r>
      <w:r>
        <w:t>GmbH</w:t>
      </w:r>
      <w:r w:rsidRPr="00587EFB">
        <w:rPr>
          <w:lang w:val="ru-RU"/>
        </w:rPr>
        <w:t xml:space="preserve">) доступ к </w:t>
      </w:r>
      <w:r w:rsidRPr="00483023">
        <w:rPr>
          <w:lang w:val="ru-RU"/>
        </w:rPr>
        <w:t>доказательс</w:t>
      </w:r>
      <w:r w:rsidRPr="00483023">
        <w:rPr>
          <w:lang w:val="ru-RU"/>
        </w:rPr>
        <w:t>т</w:t>
      </w:r>
      <w:r w:rsidRPr="00483023">
        <w:rPr>
          <w:lang w:val="ru-RU"/>
        </w:rPr>
        <w:t xml:space="preserve">вам соблюдения поставщиками и субпоставщиками требований настоящей </w:t>
      </w:r>
      <w:r w:rsidRPr="00483023">
        <w:t>DDS</w:t>
      </w:r>
      <w:r w:rsidRPr="00483023">
        <w:rPr>
          <w:lang w:val="ru-RU"/>
        </w:rPr>
        <w:t>. Соо</w:t>
      </w:r>
      <w:r w:rsidRPr="00483023">
        <w:rPr>
          <w:lang w:val="ru-RU"/>
        </w:rPr>
        <w:t>т</w:t>
      </w:r>
      <w:r w:rsidRPr="00483023">
        <w:rPr>
          <w:lang w:val="ru-RU"/>
        </w:rPr>
        <w:t>ветствующее требование должно содержаться в договоре поставки. Так же договором Поставщик должен гарантировать допуск специалистов Предприятия (или его подря</w:t>
      </w:r>
      <w:r w:rsidRPr="00483023">
        <w:rPr>
          <w:lang w:val="ru-RU"/>
        </w:rPr>
        <w:t>д</w:t>
      </w:r>
      <w:r w:rsidRPr="00483023">
        <w:rPr>
          <w:lang w:val="ru-RU"/>
        </w:rPr>
        <w:t>ной организации) на все производственные площадки по его цепочке, для проверки объемов и методов заготовки древесины (в рамках требований стандарта FSC-STD-40-005 в его актуальной версии). Допуск должен предоставляться в недельный срок после уведомления Поставщика Предприятием о намерении приехать для проведен</w:t>
      </w:r>
      <w:r>
        <w:rPr>
          <w:lang w:val="ru-RU"/>
        </w:rPr>
        <w:t>ия контр</w:t>
      </w:r>
      <w:r>
        <w:rPr>
          <w:lang w:val="ru-RU"/>
        </w:rPr>
        <w:t>о</w:t>
      </w:r>
      <w:r>
        <w:rPr>
          <w:lang w:val="ru-RU"/>
        </w:rPr>
        <w:t xml:space="preserve">ля. </w:t>
      </w:r>
      <w:r w:rsidRPr="008F1B01">
        <w:rPr>
          <w:b/>
          <w:color w:val="FF0000"/>
          <w:lang w:val="ru-RU"/>
        </w:rPr>
        <w:t>(1.3)</w:t>
      </w:r>
    </w:p>
    <w:p w:rsidR="000641FB" w:rsidRDefault="000641FB" w:rsidP="000641FB">
      <w:pPr>
        <w:pStyle w:val="afb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lang w:val="ru-RU"/>
        </w:rPr>
      </w:pPr>
      <w:r w:rsidRPr="00483023">
        <w:rPr>
          <w:lang w:val="ru-RU"/>
        </w:rPr>
        <w:t>Поставщик обязан заполнять стандартизированное</w:t>
      </w:r>
      <w:r>
        <w:rPr>
          <w:lang w:val="ru-RU"/>
        </w:rPr>
        <w:t xml:space="preserve"> Приложение к договору поставки (</w:t>
      </w:r>
      <w:r w:rsidRPr="00F85DC3">
        <w:rPr>
          <w:lang w:val="ru-RU"/>
        </w:rPr>
        <w:t xml:space="preserve">Декларацию поставщика – по форме </w:t>
      </w:r>
      <w:r w:rsidRPr="00F85DC3">
        <w:rPr>
          <w:b/>
          <w:lang w:val="ru-RU"/>
        </w:rPr>
        <w:t>Приложение №2</w:t>
      </w:r>
      <w:r w:rsidRPr="00F85DC3">
        <w:rPr>
          <w:lang w:val="ru-RU"/>
        </w:rPr>
        <w:t xml:space="preserve"> к настоящей </w:t>
      </w:r>
      <w:r w:rsidRPr="00F85DC3">
        <w:t>DDS</w:t>
      </w:r>
      <w:r w:rsidRPr="00F85DC3">
        <w:rPr>
          <w:lang w:val="ru-RU"/>
        </w:rPr>
        <w:t>),</w:t>
      </w:r>
      <w:r>
        <w:rPr>
          <w:lang w:val="ru-RU"/>
        </w:rPr>
        <w:t xml:space="preserve"> с указанием всех РД на заготовку и основных элементов цепочки поставок. Приложение заполняется перед заключением договора, перед его обновлением и при изменении структуры ц</w:t>
      </w:r>
      <w:r>
        <w:rPr>
          <w:lang w:val="ru-RU"/>
        </w:rPr>
        <w:t>е</w:t>
      </w:r>
      <w:r>
        <w:rPr>
          <w:lang w:val="ru-RU"/>
        </w:rPr>
        <w:t>почки поставок Поставщика.</w:t>
      </w:r>
    </w:p>
    <w:p w:rsidR="000641FB" w:rsidRPr="002C4B69" w:rsidRDefault="000641FB" w:rsidP="000641FB">
      <w:pPr>
        <w:pStyle w:val="afb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lang w:val="ru-RU"/>
        </w:rPr>
      </w:pPr>
      <w:r>
        <w:rPr>
          <w:lang w:val="ru-RU"/>
        </w:rPr>
        <w:t>Если во время полевой проверки (или по другим источникам) выясняется, что информ</w:t>
      </w:r>
      <w:r>
        <w:rPr>
          <w:lang w:val="ru-RU"/>
        </w:rPr>
        <w:t>а</w:t>
      </w:r>
      <w:r>
        <w:rPr>
          <w:lang w:val="ru-RU"/>
        </w:rPr>
        <w:t>ция в Декларации поставщика не соответствует действительности или устарела, то П</w:t>
      </w:r>
      <w:r>
        <w:rPr>
          <w:lang w:val="ru-RU"/>
        </w:rPr>
        <w:t>о</w:t>
      </w:r>
      <w:r>
        <w:rPr>
          <w:lang w:val="ru-RU"/>
        </w:rPr>
        <w:t>ставщик рекомендуется</w:t>
      </w:r>
      <w:r w:rsidR="00D56439">
        <w:rPr>
          <w:lang w:val="ru-RU"/>
        </w:rPr>
        <w:t xml:space="preserve"> отделом по обеспечению  сырьем  </w:t>
      </w:r>
      <w:r>
        <w:rPr>
          <w:lang w:val="ru-RU"/>
        </w:rPr>
        <w:t>к исключению из списка п</w:t>
      </w:r>
      <w:r>
        <w:rPr>
          <w:lang w:val="ru-RU"/>
        </w:rPr>
        <w:t>о</w:t>
      </w:r>
      <w:r>
        <w:rPr>
          <w:lang w:val="ru-RU"/>
        </w:rPr>
        <w:t>ставщиков и прекращению действия договора. Данное условие должно быть зафиксир</w:t>
      </w:r>
      <w:r>
        <w:rPr>
          <w:lang w:val="ru-RU"/>
        </w:rPr>
        <w:t>о</w:t>
      </w:r>
      <w:r>
        <w:rPr>
          <w:lang w:val="ru-RU"/>
        </w:rPr>
        <w:t xml:space="preserve">вано </w:t>
      </w:r>
      <w:r w:rsidR="00F85DC3">
        <w:rPr>
          <w:lang w:val="ru-RU"/>
        </w:rPr>
        <w:t>в договоре</w:t>
      </w:r>
      <w:r>
        <w:rPr>
          <w:lang w:val="ru-RU"/>
        </w:rPr>
        <w:t xml:space="preserve"> поставки.  </w:t>
      </w:r>
    </w:p>
    <w:p w:rsidR="000641FB" w:rsidRPr="000641FB" w:rsidRDefault="000641FB" w:rsidP="000641FB">
      <w:pPr>
        <w:spacing w:after="120"/>
        <w:jc w:val="both"/>
        <w:rPr>
          <w:lang w:val="ru-RU"/>
        </w:rPr>
      </w:pPr>
    </w:p>
    <w:p w:rsidR="00190802" w:rsidRDefault="008379F0" w:rsidP="008379F0">
      <w:pPr>
        <w:pStyle w:val="2"/>
        <w:numPr>
          <w:ilvl w:val="0"/>
          <w:numId w:val="3"/>
        </w:numPr>
        <w:rPr>
          <w:lang w:val="ru-RU"/>
        </w:rPr>
      </w:pPr>
      <w:bookmarkStart w:id="7" w:name="_Toc487455550"/>
      <w:r>
        <w:rPr>
          <w:lang w:val="ru-RU"/>
        </w:rPr>
        <w:lastRenderedPageBreak/>
        <w:t xml:space="preserve">Действия предприятия по выполнению </w:t>
      </w:r>
      <w:r w:rsidR="00570EE9">
        <w:rPr>
          <w:lang w:val="ru-RU"/>
        </w:rPr>
        <w:t xml:space="preserve">частных </w:t>
      </w:r>
      <w:r>
        <w:rPr>
          <w:lang w:val="ru-RU"/>
        </w:rPr>
        <w:t>контрольных мер</w:t>
      </w:r>
      <w:bookmarkEnd w:id="7"/>
    </w:p>
    <w:p w:rsidR="008379F0" w:rsidRDefault="008379F0" w:rsidP="00EE0539">
      <w:pPr>
        <w:pStyle w:val="afb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lang w:val="ru-RU"/>
        </w:rPr>
      </w:pPr>
      <w:r w:rsidRPr="008379F0">
        <w:rPr>
          <w:lang w:val="ru-RU"/>
        </w:rPr>
        <w:t xml:space="preserve">Порядок работы с поставщиками определяется набором действий и сбором документов необходимых для исполнения </w:t>
      </w:r>
      <w:r w:rsidR="00570EE9">
        <w:rPr>
          <w:lang w:val="ru-RU"/>
        </w:rPr>
        <w:t xml:space="preserve">частных </w:t>
      </w:r>
      <w:r w:rsidRPr="008379F0">
        <w:rPr>
          <w:lang w:val="ru-RU"/>
        </w:rPr>
        <w:t>контрольных мер</w:t>
      </w:r>
      <w:r w:rsidR="00570EE9">
        <w:rPr>
          <w:lang w:val="ru-RU"/>
        </w:rPr>
        <w:t xml:space="preserve"> (</w:t>
      </w:r>
      <w:r w:rsidR="007240B3">
        <w:rPr>
          <w:lang w:val="ru-RU"/>
        </w:rPr>
        <w:t>меры,</w:t>
      </w:r>
      <w:r w:rsidR="00570EE9">
        <w:rPr>
          <w:lang w:val="ru-RU"/>
        </w:rPr>
        <w:t xml:space="preserve"> осуществляемые по к</w:t>
      </w:r>
      <w:r w:rsidR="00570EE9">
        <w:rPr>
          <w:lang w:val="ru-RU"/>
        </w:rPr>
        <w:t>а</w:t>
      </w:r>
      <w:r w:rsidR="00570EE9">
        <w:rPr>
          <w:lang w:val="ru-RU"/>
        </w:rPr>
        <w:t>ждому поставщику)</w:t>
      </w:r>
      <w:r w:rsidRPr="008379F0">
        <w:rPr>
          <w:lang w:val="ru-RU"/>
        </w:rPr>
        <w:t xml:space="preserve">, определенных в оценке риска настоящей </w:t>
      </w:r>
      <w:r>
        <w:t>DDS</w:t>
      </w:r>
      <w:r w:rsidRPr="008379F0">
        <w:rPr>
          <w:lang w:val="ru-RU"/>
        </w:rPr>
        <w:t xml:space="preserve"> (</w:t>
      </w:r>
      <w:r w:rsidRPr="007240B3">
        <w:rPr>
          <w:b/>
          <w:lang w:val="ru-RU"/>
        </w:rPr>
        <w:t>Приложение 1</w:t>
      </w:r>
      <w:r w:rsidRPr="008379F0">
        <w:rPr>
          <w:lang w:val="ru-RU"/>
        </w:rPr>
        <w:t>). О</w:t>
      </w:r>
      <w:r w:rsidRPr="008379F0">
        <w:rPr>
          <w:lang w:val="ru-RU"/>
        </w:rPr>
        <w:t>с</w:t>
      </w:r>
      <w:r w:rsidRPr="008379F0">
        <w:rPr>
          <w:lang w:val="ru-RU"/>
        </w:rPr>
        <w:t>новополагающим принципом настоящей системы является полное и добросовестное предоставление поставщиком всей необходимой информации о поставляемой древес</w:t>
      </w:r>
      <w:r w:rsidRPr="008379F0">
        <w:rPr>
          <w:lang w:val="ru-RU"/>
        </w:rPr>
        <w:t>и</w:t>
      </w:r>
      <w:r w:rsidRPr="008379F0">
        <w:rPr>
          <w:lang w:val="ru-RU"/>
        </w:rPr>
        <w:t>не. Предприятие в свою очередь оставляет за собой право постоянного мониторинга и контроля предоставленной информации, и в случае нарушения или умышленного по</w:t>
      </w:r>
      <w:r w:rsidRPr="008379F0">
        <w:rPr>
          <w:lang w:val="ru-RU"/>
        </w:rPr>
        <w:t>д</w:t>
      </w:r>
      <w:r w:rsidRPr="008379F0">
        <w:rPr>
          <w:lang w:val="ru-RU"/>
        </w:rPr>
        <w:t>лога информации со стороны Поставщика, Предприятие имеет право расторгнуть и б</w:t>
      </w:r>
      <w:r w:rsidRPr="008379F0">
        <w:rPr>
          <w:lang w:val="ru-RU"/>
        </w:rPr>
        <w:t>о</w:t>
      </w:r>
      <w:r w:rsidRPr="008379F0">
        <w:rPr>
          <w:lang w:val="ru-RU"/>
        </w:rPr>
        <w:t>лее не заключать договор поставки с этим поставщиком (юридическим лицом) и учред</w:t>
      </w:r>
      <w:r w:rsidRPr="008379F0">
        <w:rPr>
          <w:lang w:val="ru-RU"/>
        </w:rPr>
        <w:t>и</w:t>
      </w:r>
      <w:r w:rsidRPr="008379F0">
        <w:rPr>
          <w:lang w:val="ru-RU"/>
        </w:rPr>
        <w:t xml:space="preserve">телями этого поставщика (физическими и юридическими лицами). </w:t>
      </w:r>
    </w:p>
    <w:p w:rsidR="007240B3" w:rsidRDefault="00EE0539" w:rsidP="007240B3">
      <w:pPr>
        <w:pStyle w:val="afb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lang w:val="ru-RU"/>
        </w:rPr>
      </w:pPr>
      <w:r>
        <w:rPr>
          <w:lang w:val="ru-RU"/>
        </w:rPr>
        <w:t>Декларация поставщика</w:t>
      </w:r>
      <w:r w:rsidR="007240B3">
        <w:rPr>
          <w:lang w:val="ru-RU"/>
        </w:rPr>
        <w:t xml:space="preserve"> (</w:t>
      </w:r>
      <w:r w:rsidR="007240B3" w:rsidRPr="007240B3">
        <w:rPr>
          <w:b/>
          <w:lang w:val="ru-RU"/>
        </w:rPr>
        <w:t>Приложение 2</w:t>
      </w:r>
      <w:r w:rsidR="007240B3">
        <w:rPr>
          <w:lang w:val="ru-RU"/>
        </w:rPr>
        <w:t>)</w:t>
      </w:r>
      <w:r>
        <w:rPr>
          <w:lang w:val="ru-RU"/>
        </w:rPr>
        <w:t xml:space="preserve"> – документ, который собирает всю необход</w:t>
      </w:r>
      <w:r>
        <w:rPr>
          <w:lang w:val="ru-RU"/>
        </w:rPr>
        <w:t>и</w:t>
      </w:r>
      <w:r>
        <w:rPr>
          <w:lang w:val="ru-RU"/>
        </w:rPr>
        <w:t>мую информацию о поставщике, его цепочки поставок и разрешительных документах, необходимых для анализа Предприятием и для принятия решения о допустимости п</w:t>
      </w:r>
      <w:r>
        <w:rPr>
          <w:lang w:val="ru-RU"/>
        </w:rPr>
        <w:t>о</w:t>
      </w:r>
      <w:r>
        <w:rPr>
          <w:lang w:val="ru-RU"/>
        </w:rPr>
        <w:t>ст</w:t>
      </w:r>
      <w:r w:rsidR="00C84277">
        <w:rPr>
          <w:lang w:val="ru-RU"/>
        </w:rPr>
        <w:t xml:space="preserve">авки от конкретного Поставщика. </w:t>
      </w:r>
    </w:p>
    <w:p w:rsidR="00480793" w:rsidRDefault="00EE0539" w:rsidP="00480793">
      <w:pPr>
        <w:pStyle w:val="afb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lang w:val="ru-RU"/>
        </w:rPr>
      </w:pPr>
      <w:r w:rsidRPr="007240B3">
        <w:rPr>
          <w:lang w:val="ru-RU"/>
        </w:rPr>
        <w:t>Ответственность за заполнение декларации поставщика полностью лежит на Поставщ</w:t>
      </w:r>
      <w:r w:rsidRPr="007240B3">
        <w:rPr>
          <w:lang w:val="ru-RU"/>
        </w:rPr>
        <w:t>и</w:t>
      </w:r>
      <w:r w:rsidRPr="007240B3">
        <w:rPr>
          <w:lang w:val="ru-RU"/>
        </w:rPr>
        <w:t>ке – без этого документа заключение или продлен</w:t>
      </w:r>
      <w:r w:rsidR="007240B3">
        <w:rPr>
          <w:lang w:val="ru-RU"/>
        </w:rPr>
        <w:t xml:space="preserve">ие договора поставки невозможно. </w:t>
      </w:r>
      <w:r w:rsidR="007240B3" w:rsidRPr="00480793">
        <w:rPr>
          <w:lang w:val="ru-RU"/>
        </w:rPr>
        <w:t>О</w:t>
      </w:r>
      <w:r w:rsidR="00C84277" w:rsidRPr="00480793">
        <w:rPr>
          <w:lang w:val="ru-RU"/>
        </w:rPr>
        <w:t>тдел</w:t>
      </w:r>
      <w:r w:rsidRPr="00480793">
        <w:rPr>
          <w:lang w:val="ru-RU"/>
        </w:rPr>
        <w:t xml:space="preserve"> по </w:t>
      </w:r>
      <w:r w:rsidR="00D56439">
        <w:rPr>
          <w:lang w:val="ru-RU"/>
        </w:rPr>
        <w:t xml:space="preserve">обеспечению сырьем  </w:t>
      </w:r>
      <w:r w:rsidRPr="00480793">
        <w:rPr>
          <w:lang w:val="ru-RU"/>
        </w:rPr>
        <w:t>должен получить декларацию, проверить её комплек</w:t>
      </w:r>
      <w:r w:rsidRPr="00480793">
        <w:rPr>
          <w:lang w:val="ru-RU"/>
        </w:rPr>
        <w:t>т</w:t>
      </w:r>
      <w:r w:rsidRPr="00480793">
        <w:rPr>
          <w:lang w:val="ru-RU"/>
        </w:rPr>
        <w:t>ность и только после согл</w:t>
      </w:r>
      <w:r w:rsidR="00811499" w:rsidRPr="00480793">
        <w:rPr>
          <w:lang w:val="ru-RU"/>
        </w:rPr>
        <w:t xml:space="preserve">асования отдела по сертификации, отделу закупок </w:t>
      </w:r>
      <w:r w:rsidRPr="00480793">
        <w:rPr>
          <w:lang w:val="ru-RU"/>
        </w:rPr>
        <w:t>разрешае</w:t>
      </w:r>
      <w:r w:rsidR="00480793" w:rsidRPr="00480793">
        <w:rPr>
          <w:lang w:val="ru-RU"/>
        </w:rPr>
        <w:t>тся заключить договор поставки</w:t>
      </w:r>
      <w:r w:rsidRPr="007240B3">
        <w:rPr>
          <w:lang w:val="ru-RU"/>
        </w:rPr>
        <w:t>;</w:t>
      </w:r>
    </w:p>
    <w:p w:rsidR="00C84277" w:rsidRPr="00480793" w:rsidRDefault="00EE0539" w:rsidP="00480793">
      <w:pPr>
        <w:pStyle w:val="afb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lang w:val="ru-RU"/>
        </w:rPr>
      </w:pPr>
      <w:r w:rsidRPr="00480793">
        <w:rPr>
          <w:lang w:val="ru-RU"/>
        </w:rPr>
        <w:t xml:space="preserve">Периодичность заполнения Декларации поставщика: </w:t>
      </w:r>
    </w:p>
    <w:p w:rsidR="00480793" w:rsidRDefault="00EE0539" w:rsidP="00480793">
      <w:pPr>
        <w:pStyle w:val="afb"/>
        <w:numPr>
          <w:ilvl w:val="2"/>
          <w:numId w:val="31"/>
        </w:numPr>
        <w:spacing w:after="0"/>
        <w:ind w:left="851" w:hanging="284"/>
        <w:contextualSpacing w:val="0"/>
        <w:jc w:val="both"/>
        <w:rPr>
          <w:lang w:val="ru-RU"/>
        </w:rPr>
      </w:pPr>
      <w:r>
        <w:rPr>
          <w:lang w:val="ru-RU"/>
        </w:rPr>
        <w:t xml:space="preserve">перед </w:t>
      </w:r>
      <w:r w:rsidR="00743F06">
        <w:rPr>
          <w:lang w:val="ru-RU"/>
        </w:rPr>
        <w:t xml:space="preserve"> </w:t>
      </w:r>
      <w:r>
        <w:rPr>
          <w:lang w:val="ru-RU"/>
        </w:rPr>
        <w:t xml:space="preserve">заключением договора, </w:t>
      </w:r>
    </w:p>
    <w:p w:rsidR="00480793" w:rsidRDefault="00EE0539" w:rsidP="00480793">
      <w:pPr>
        <w:pStyle w:val="afb"/>
        <w:numPr>
          <w:ilvl w:val="2"/>
          <w:numId w:val="31"/>
        </w:numPr>
        <w:spacing w:after="120"/>
        <w:ind w:left="851" w:hanging="284"/>
        <w:contextualSpacing w:val="0"/>
        <w:jc w:val="both"/>
        <w:rPr>
          <w:lang w:val="ru-RU"/>
        </w:rPr>
      </w:pPr>
      <w:r>
        <w:rPr>
          <w:lang w:val="ru-RU"/>
        </w:rPr>
        <w:t>каждый раз при внесении изменений в структуру цепочки поставки или</w:t>
      </w:r>
      <w:r w:rsidR="00811499">
        <w:rPr>
          <w:lang w:val="ru-RU"/>
        </w:rPr>
        <w:t xml:space="preserve"> объём</w:t>
      </w:r>
      <w:r w:rsidR="00D56439">
        <w:rPr>
          <w:lang w:val="ru-RU"/>
        </w:rPr>
        <w:t xml:space="preserve"> </w:t>
      </w:r>
      <w:r w:rsidR="00811499">
        <w:rPr>
          <w:lang w:val="ru-RU"/>
        </w:rPr>
        <w:t>п</w:t>
      </w:r>
      <w:r w:rsidR="00811499">
        <w:rPr>
          <w:lang w:val="ru-RU"/>
        </w:rPr>
        <w:t>о</w:t>
      </w:r>
      <w:r w:rsidR="00811499">
        <w:rPr>
          <w:lang w:val="ru-RU"/>
        </w:rPr>
        <w:t xml:space="preserve">ставки, или </w:t>
      </w:r>
      <w:r>
        <w:rPr>
          <w:lang w:val="ru-RU"/>
        </w:rPr>
        <w:t xml:space="preserve">заготовки. </w:t>
      </w:r>
    </w:p>
    <w:p w:rsidR="00060EE4" w:rsidRDefault="000641FB" w:rsidP="00480793">
      <w:pPr>
        <w:pStyle w:val="afb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lang w:val="ru-RU"/>
        </w:rPr>
      </w:pPr>
      <w:r>
        <w:rPr>
          <w:lang w:val="ru-RU"/>
        </w:rPr>
        <w:t>Предприятие проводит первичный камеральный анализ Деклараций поставщика. Пр</w:t>
      </w:r>
      <w:r>
        <w:rPr>
          <w:lang w:val="ru-RU"/>
        </w:rPr>
        <w:t>о</w:t>
      </w:r>
      <w:r>
        <w:rPr>
          <w:lang w:val="ru-RU"/>
        </w:rPr>
        <w:t>веряется полнота заполнения. Сверяются объемы по всей цепочке, а также проводится определение так называемого общего фактора риска поставщика, в зависимости от структуры его цепочки и районов с которых он производит поставку. Чем выше фактор риска, тем рискованнее цепочка поставки этого поставщика.</w:t>
      </w:r>
      <w:r w:rsidR="00060EE4">
        <w:rPr>
          <w:lang w:val="ru-RU"/>
        </w:rPr>
        <w:t xml:space="preserve"> Факторы риска определены не для всех рисков в оценке (Приложение 1), а только для тех, в которых есть соответс</w:t>
      </w:r>
      <w:r w:rsidR="00060EE4">
        <w:rPr>
          <w:lang w:val="ru-RU"/>
        </w:rPr>
        <w:t>т</w:t>
      </w:r>
      <w:r w:rsidR="00060EE4">
        <w:rPr>
          <w:lang w:val="ru-RU"/>
        </w:rPr>
        <w:t xml:space="preserve">вующая графа, по ним и проводится анализ. Остальные риски определены либо как «низкие» (фактор 0), либо к ним применимы безусловные контрольные меры.  </w:t>
      </w:r>
    </w:p>
    <w:p w:rsidR="00060EE4" w:rsidRDefault="00060EE4" w:rsidP="00060EE4">
      <w:pPr>
        <w:pStyle w:val="afb"/>
        <w:numPr>
          <w:ilvl w:val="2"/>
          <w:numId w:val="3"/>
        </w:numPr>
        <w:spacing w:after="120"/>
        <w:ind w:left="1418" w:hanging="698"/>
        <w:contextualSpacing w:val="0"/>
        <w:jc w:val="both"/>
        <w:rPr>
          <w:lang w:val="ru-RU"/>
        </w:rPr>
      </w:pPr>
      <w:r>
        <w:rPr>
          <w:lang w:val="ru-RU"/>
        </w:rPr>
        <w:t>При анализе новой или обновленной декларации поставщика фактор риска о</w:t>
      </w:r>
      <w:r>
        <w:rPr>
          <w:lang w:val="ru-RU"/>
        </w:rPr>
        <w:t>б</w:t>
      </w:r>
      <w:r>
        <w:rPr>
          <w:lang w:val="ru-RU"/>
        </w:rPr>
        <w:t xml:space="preserve">новляется. Соответствующий анализ проводится в электронной таблице по форме Приложения 3 к настоящей </w:t>
      </w:r>
      <w:r>
        <w:t>DDS</w:t>
      </w:r>
      <w:r w:rsidRPr="00060EE4">
        <w:rPr>
          <w:lang w:val="ru-RU"/>
        </w:rPr>
        <w:t xml:space="preserve"> (Форма предварительной проверки п</w:t>
      </w:r>
      <w:r w:rsidRPr="00060EE4">
        <w:rPr>
          <w:lang w:val="ru-RU"/>
        </w:rPr>
        <w:t>о</w:t>
      </w:r>
      <w:r w:rsidRPr="00060EE4">
        <w:rPr>
          <w:lang w:val="ru-RU"/>
        </w:rPr>
        <w:t>ставщика с определением фактора риска);</w:t>
      </w:r>
    </w:p>
    <w:p w:rsidR="00060EE4" w:rsidRDefault="00060EE4" w:rsidP="00060EE4">
      <w:pPr>
        <w:pStyle w:val="afb"/>
        <w:numPr>
          <w:ilvl w:val="2"/>
          <w:numId w:val="3"/>
        </w:numPr>
        <w:spacing w:after="120"/>
        <w:ind w:left="1418" w:hanging="698"/>
        <w:contextualSpacing w:val="0"/>
        <w:jc w:val="both"/>
        <w:rPr>
          <w:lang w:val="ru-RU"/>
        </w:rPr>
      </w:pPr>
      <w:r>
        <w:rPr>
          <w:lang w:val="ru-RU"/>
        </w:rPr>
        <w:t xml:space="preserve">Максимальный фактор риска – 60. Поставщики с фактором риска 40 и выше – обязательны к проведению полевой проверки. Если у поставщика проводилась полевая проверка в ближайшее два года (действительно </w:t>
      </w:r>
      <w:r w:rsidR="001B7944">
        <w:rPr>
          <w:lang w:val="ru-RU"/>
        </w:rPr>
        <w:t xml:space="preserve">только </w:t>
      </w:r>
      <w:r>
        <w:rPr>
          <w:lang w:val="ru-RU"/>
        </w:rPr>
        <w:t xml:space="preserve">для проверок с 08.2017), то фактор риска уменьшается на 20 единиц. </w:t>
      </w:r>
    </w:p>
    <w:p w:rsidR="00F56FD2" w:rsidRPr="00387CDE" w:rsidRDefault="00F56FD2" w:rsidP="00F56FD2">
      <w:pPr>
        <w:pStyle w:val="afb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lang w:val="ru-RU"/>
        </w:rPr>
      </w:pPr>
      <w:r w:rsidRPr="00387CDE">
        <w:rPr>
          <w:lang w:val="ru-RU"/>
        </w:rPr>
        <w:t>Так же, для каждого поставщика, который попадает под соответствующий риск, пров</w:t>
      </w:r>
      <w:r w:rsidRPr="00387CDE">
        <w:rPr>
          <w:lang w:val="ru-RU"/>
        </w:rPr>
        <w:t>о</w:t>
      </w:r>
      <w:r w:rsidRPr="00387CDE">
        <w:rPr>
          <w:lang w:val="ru-RU"/>
        </w:rPr>
        <w:t>дятся локальные консультации с заинтересованными сторонами, конкретно по его ра</w:t>
      </w:r>
      <w:r w:rsidRPr="00387CDE">
        <w:rPr>
          <w:lang w:val="ru-RU"/>
        </w:rPr>
        <w:t>й</w:t>
      </w:r>
      <w:r w:rsidRPr="00387CDE">
        <w:rPr>
          <w:lang w:val="ru-RU"/>
        </w:rPr>
        <w:t>онам заготовки. Локальные консультации проводятся со следующими ЗС по следующим вопросам:</w:t>
      </w:r>
    </w:p>
    <w:p w:rsidR="00F56FD2" w:rsidRPr="00387CDE" w:rsidRDefault="00F56FD2" w:rsidP="00F56FD2">
      <w:pPr>
        <w:pStyle w:val="afb"/>
        <w:numPr>
          <w:ilvl w:val="2"/>
          <w:numId w:val="3"/>
        </w:numPr>
        <w:spacing w:after="120"/>
        <w:ind w:left="1418" w:hanging="698"/>
        <w:contextualSpacing w:val="0"/>
        <w:jc w:val="both"/>
        <w:rPr>
          <w:lang w:val="ru-RU"/>
        </w:rPr>
      </w:pPr>
      <w:r w:rsidRPr="00387CDE">
        <w:rPr>
          <w:lang w:val="ru-RU"/>
        </w:rPr>
        <w:lastRenderedPageBreak/>
        <w:t>Местные органы власти и управления лесами (тема консультаций: возможные незаконные рубки, острые конфликты по обследуемому участку в отношении предоставления прав на заготовку древесины, нарушение прав работников з</w:t>
      </w:r>
      <w:r w:rsidRPr="00387CDE">
        <w:rPr>
          <w:lang w:val="ru-RU"/>
        </w:rPr>
        <w:t>а</w:t>
      </w:r>
      <w:r w:rsidRPr="00387CDE">
        <w:rPr>
          <w:lang w:val="ru-RU"/>
        </w:rPr>
        <w:t>готовителя);</w:t>
      </w:r>
    </w:p>
    <w:p w:rsidR="00F56FD2" w:rsidRPr="00387CDE" w:rsidRDefault="00F56FD2" w:rsidP="00F56FD2">
      <w:pPr>
        <w:pStyle w:val="afb"/>
        <w:numPr>
          <w:ilvl w:val="2"/>
          <w:numId w:val="3"/>
        </w:numPr>
        <w:spacing w:after="120"/>
        <w:ind w:left="1418" w:hanging="698"/>
        <w:contextualSpacing w:val="0"/>
        <w:jc w:val="both"/>
        <w:rPr>
          <w:lang w:val="ru-RU"/>
        </w:rPr>
      </w:pPr>
      <w:r w:rsidRPr="00387CDE">
        <w:rPr>
          <w:lang w:val="ru-RU"/>
        </w:rPr>
        <w:t>Территориальная общественно-наблюдательная комиссия по соблюдению прав человека в местах принудительного содержания (тема консультаций: возмо</w:t>
      </w:r>
      <w:r w:rsidRPr="00387CDE">
        <w:rPr>
          <w:lang w:val="ru-RU"/>
        </w:rPr>
        <w:t>ж</w:t>
      </w:r>
      <w:r w:rsidRPr="00387CDE">
        <w:rPr>
          <w:lang w:val="ru-RU"/>
        </w:rPr>
        <w:t>ное нарушение прав, заключенных при заготовке древесины на конкретном предприятии);</w:t>
      </w:r>
    </w:p>
    <w:p w:rsidR="00F56FD2" w:rsidRPr="00387CDE" w:rsidRDefault="00F56FD2" w:rsidP="00F56FD2">
      <w:pPr>
        <w:pStyle w:val="afb"/>
        <w:numPr>
          <w:ilvl w:val="2"/>
          <w:numId w:val="3"/>
        </w:numPr>
        <w:spacing w:after="120"/>
        <w:ind w:left="1418" w:hanging="698"/>
        <w:contextualSpacing w:val="0"/>
        <w:jc w:val="both"/>
        <w:rPr>
          <w:lang w:val="ru-RU"/>
        </w:rPr>
      </w:pPr>
      <w:r w:rsidRPr="00387CDE">
        <w:rPr>
          <w:lang w:val="ru-RU"/>
        </w:rPr>
        <w:t>Общественные организации по коренным народам, местные органы управл</w:t>
      </w:r>
      <w:r w:rsidRPr="00387CDE">
        <w:rPr>
          <w:lang w:val="ru-RU"/>
        </w:rPr>
        <w:t>е</w:t>
      </w:r>
      <w:r w:rsidRPr="00387CDE">
        <w:rPr>
          <w:lang w:val="ru-RU"/>
        </w:rPr>
        <w:t xml:space="preserve">ния властью и местные общества (тема консультаций: возможные конфликты с КМС); </w:t>
      </w:r>
    </w:p>
    <w:p w:rsidR="00F56FD2" w:rsidRPr="00387CDE" w:rsidRDefault="00F56FD2" w:rsidP="00F56FD2">
      <w:pPr>
        <w:pStyle w:val="afb"/>
        <w:numPr>
          <w:ilvl w:val="2"/>
          <w:numId w:val="3"/>
        </w:numPr>
        <w:spacing w:after="120"/>
        <w:ind w:left="1418" w:hanging="698"/>
        <w:contextualSpacing w:val="0"/>
        <w:jc w:val="both"/>
        <w:rPr>
          <w:lang w:val="ru-RU"/>
        </w:rPr>
      </w:pPr>
      <w:r w:rsidRPr="00387CDE">
        <w:rPr>
          <w:lang w:val="ru-RU"/>
        </w:rPr>
        <w:t>Общественные организации по ЛВПЦ (тема консультаций: уточнение границ ЛВПЦ при попадании поставщика в район на границе ЛВПЦ и прочие неста</w:t>
      </w:r>
      <w:r w:rsidRPr="00387CDE">
        <w:rPr>
          <w:lang w:val="ru-RU"/>
        </w:rPr>
        <w:t>н</w:t>
      </w:r>
      <w:r w:rsidRPr="00387CDE">
        <w:rPr>
          <w:lang w:val="ru-RU"/>
        </w:rPr>
        <w:t>дартные ситуации, связанные с ЛВПЦ).</w:t>
      </w:r>
    </w:p>
    <w:p w:rsidR="00F56FD2" w:rsidRPr="00387CDE" w:rsidRDefault="00F56FD2" w:rsidP="00F56FD2">
      <w:pPr>
        <w:pStyle w:val="afb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lang w:val="ru-RU"/>
        </w:rPr>
      </w:pPr>
      <w:r w:rsidRPr="00387CDE">
        <w:rPr>
          <w:lang w:val="ru-RU"/>
        </w:rPr>
        <w:t>Каждой ЗС в этом случае направляется письмо соответствующей формы. Все формы п</w:t>
      </w:r>
      <w:r w:rsidRPr="00387CDE">
        <w:rPr>
          <w:lang w:val="ru-RU"/>
        </w:rPr>
        <w:t>и</w:t>
      </w:r>
      <w:r w:rsidRPr="00387CDE">
        <w:rPr>
          <w:lang w:val="ru-RU"/>
        </w:rPr>
        <w:t>сем</w:t>
      </w:r>
      <w:r w:rsidR="00130503">
        <w:rPr>
          <w:lang w:val="ru-RU"/>
        </w:rPr>
        <w:t xml:space="preserve"> </w:t>
      </w:r>
      <w:r w:rsidRPr="00387CDE">
        <w:rPr>
          <w:lang w:val="ru-RU"/>
        </w:rPr>
        <w:t xml:space="preserve"> сведены в </w:t>
      </w:r>
      <w:r w:rsidR="00130503">
        <w:rPr>
          <w:lang w:val="ru-RU"/>
        </w:rPr>
        <w:t xml:space="preserve"> </w:t>
      </w:r>
      <w:r w:rsidRPr="00387CDE">
        <w:rPr>
          <w:b/>
          <w:lang w:val="ru-RU"/>
        </w:rPr>
        <w:t xml:space="preserve">Приложении </w:t>
      </w:r>
      <w:r w:rsidR="00130503">
        <w:rPr>
          <w:b/>
          <w:lang w:val="ru-RU"/>
        </w:rPr>
        <w:t xml:space="preserve"> </w:t>
      </w:r>
      <w:r w:rsidRPr="00387CDE">
        <w:rPr>
          <w:b/>
          <w:lang w:val="ru-RU"/>
        </w:rPr>
        <w:t>7</w:t>
      </w:r>
      <w:r w:rsidRPr="00387CDE">
        <w:rPr>
          <w:lang w:val="ru-RU"/>
        </w:rPr>
        <w:t xml:space="preserve"> </w:t>
      </w:r>
      <w:r w:rsidR="00130503">
        <w:rPr>
          <w:lang w:val="ru-RU"/>
        </w:rPr>
        <w:t xml:space="preserve"> </w:t>
      </w:r>
      <w:r w:rsidRPr="00387CDE">
        <w:rPr>
          <w:lang w:val="ru-RU"/>
        </w:rPr>
        <w:t xml:space="preserve">настоящей </w:t>
      </w:r>
      <w:r w:rsidR="00130503">
        <w:rPr>
          <w:lang w:val="ru-RU"/>
        </w:rPr>
        <w:t xml:space="preserve"> </w:t>
      </w:r>
      <w:r w:rsidRPr="00387CDE">
        <w:t xml:space="preserve">DDS. </w:t>
      </w:r>
    </w:p>
    <w:p w:rsidR="00F56FD2" w:rsidRPr="00387CDE" w:rsidRDefault="00F56FD2" w:rsidP="00F56FD2">
      <w:pPr>
        <w:pStyle w:val="afb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lang w:val="ru-RU"/>
        </w:rPr>
      </w:pPr>
      <w:r w:rsidRPr="00387CDE">
        <w:rPr>
          <w:lang w:val="ru-RU"/>
        </w:rPr>
        <w:t>По результатам проведения локальных консультаций становится понятно, является ли риск потенциальным или определенным.</w:t>
      </w:r>
      <w:r w:rsidR="00130503">
        <w:rPr>
          <w:lang w:val="ru-RU"/>
        </w:rPr>
        <w:t xml:space="preserve"> </w:t>
      </w:r>
      <w:r w:rsidRPr="00387CDE">
        <w:rPr>
          <w:lang w:val="ru-RU"/>
        </w:rPr>
        <w:t>Район заготовки, в котором у поставщика им</w:t>
      </w:r>
      <w:r w:rsidRPr="00387CDE">
        <w:rPr>
          <w:lang w:val="ru-RU"/>
        </w:rPr>
        <w:t>е</w:t>
      </w:r>
      <w:r w:rsidRPr="00387CDE">
        <w:rPr>
          <w:lang w:val="ru-RU"/>
        </w:rPr>
        <w:t xml:space="preserve">ется </w:t>
      </w:r>
      <w:r w:rsidR="00130503">
        <w:rPr>
          <w:lang w:val="ru-RU"/>
        </w:rPr>
        <w:t xml:space="preserve"> </w:t>
      </w:r>
      <w:r w:rsidRPr="00387CDE">
        <w:rPr>
          <w:lang w:val="ru-RU"/>
        </w:rPr>
        <w:t xml:space="preserve">острый </w:t>
      </w:r>
      <w:r w:rsidR="00130503">
        <w:rPr>
          <w:lang w:val="ru-RU"/>
        </w:rPr>
        <w:t xml:space="preserve"> </w:t>
      </w:r>
      <w:r w:rsidRPr="00387CDE">
        <w:rPr>
          <w:lang w:val="ru-RU"/>
        </w:rPr>
        <w:t xml:space="preserve">конфликт </w:t>
      </w:r>
      <w:r w:rsidR="00130503">
        <w:rPr>
          <w:lang w:val="ru-RU"/>
        </w:rPr>
        <w:t xml:space="preserve"> </w:t>
      </w:r>
      <w:r w:rsidRPr="00387CDE">
        <w:rPr>
          <w:lang w:val="ru-RU"/>
        </w:rPr>
        <w:t xml:space="preserve">с ЗС не </w:t>
      </w:r>
      <w:r w:rsidR="00130503">
        <w:rPr>
          <w:lang w:val="ru-RU"/>
        </w:rPr>
        <w:t xml:space="preserve"> </w:t>
      </w:r>
      <w:r w:rsidRPr="00387CDE">
        <w:rPr>
          <w:lang w:val="ru-RU"/>
        </w:rPr>
        <w:t>допускаются к поставке.</w:t>
      </w:r>
    </w:p>
    <w:p w:rsidR="00F56FD2" w:rsidRDefault="00F56FD2" w:rsidP="00F56FD2">
      <w:pPr>
        <w:pStyle w:val="afb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lang w:val="ru-RU"/>
        </w:rPr>
      </w:pPr>
      <w:r w:rsidRPr="00387CDE">
        <w:rPr>
          <w:lang w:val="ru-RU"/>
        </w:rPr>
        <w:t>Проверка актуальности и правдивости предоставляемой информации осуществляется пу</w:t>
      </w:r>
      <w:r w:rsidRPr="00480793">
        <w:rPr>
          <w:lang w:val="ru-RU"/>
        </w:rPr>
        <w:t xml:space="preserve">тём проведения полевых проверок, для чего Предприятием нанимается независимая экспертная </w:t>
      </w:r>
      <w:r w:rsidR="00130503">
        <w:rPr>
          <w:lang w:val="ru-RU"/>
        </w:rPr>
        <w:t xml:space="preserve"> </w:t>
      </w:r>
      <w:r w:rsidRPr="00480793">
        <w:rPr>
          <w:lang w:val="ru-RU"/>
        </w:rPr>
        <w:t xml:space="preserve">организация. </w:t>
      </w:r>
    </w:p>
    <w:p w:rsidR="00F56FD2" w:rsidRPr="00480793" w:rsidRDefault="00F56FD2" w:rsidP="00F56FD2">
      <w:pPr>
        <w:pStyle w:val="afb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lang w:val="ru-RU"/>
        </w:rPr>
      </w:pPr>
      <w:r w:rsidRPr="00480793">
        <w:rPr>
          <w:lang w:val="ru-RU"/>
        </w:rPr>
        <w:t xml:space="preserve">Отбор поставщиков для проведения полевых проверок </w:t>
      </w:r>
      <w:r>
        <w:rPr>
          <w:lang w:val="ru-RU"/>
        </w:rPr>
        <w:t>с учётом</w:t>
      </w:r>
      <w:r w:rsidR="00130503">
        <w:rPr>
          <w:lang w:val="ru-RU"/>
        </w:rPr>
        <w:t xml:space="preserve"> </w:t>
      </w:r>
      <w:r>
        <w:rPr>
          <w:lang w:val="ru-RU"/>
        </w:rPr>
        <w:t>фактора</w:t>
      </w:r>
      <w:r w:rsidRPr="00480793">
        <w:rPr>
          <w:lang w:val="ru-RU"/>
        </w:rPr>
        <w:t xml:space="preserve"> риска</w:t>
      </w:r>
      <w:r>
        <w:rPr>
          <w:lang w:val="ru-RU"/>
        </w:rPr>
        <w:t xml:space="preserve"> каждого Поставщика (в выборку попадают поставщики с максимальным фактором, и все поста</w:t>
      </w:r>
      <w:r>
        <w:rPr>
          <w:lang w:val="ru-RU"/>
        </w:rPr>
        <w:t>в</w:t>
      </w:r>
      <w:r>
        <w:rPr>
          <w:lang w:val="ru-RU"/>
        </w:rPr>
        <w:t>щики с фактором риска более 40)</w:t>
      </w:r>
      <w:r w:rsidRPr="00480793">
        <w:rPr>
          <w:lang w:val="ru-RU"/>
        </w:rPr>
        <w:t>. Минимальная ежегодная выборка (</w:t>
      </w:r>
      <w:r>
        <w:t>y</w:t>
      </w:r>
      <w:r w:rsidRPr="00480793">
        <w:rPr>
          <w:lang w:val="ru-RU"/>
        </w:rPr>
        <w:t xml:space="preserve"> – при расчёте, округляется </w:t>
      </w:r>
      <w:r w:rsidR="00130503">
        <w:rPr>
          <w:lang w:val="ru-RU"/>
        </w:rPr>
        <w:t xml:space="preserve"> </w:t>
      </w:r>
      <w:r w:rsidRPr="00480793">
        <w:rPr>
          <w:lang w:val="ru-RU"/>
        </w:rPr>
        <w:t>вверх) по контролю поставщиков определятся по формуле:</w:t>
      </w:r>
    </w:p>
    <w:p w:rsidR="00F56FD2" w:rsidRPr="00811499" w:rsidRDefault="00F56FD2" w:rsidP="00F56FD2">
      <w:pPr>
        <w:pStyle w:val="afb"/>
        <w:spacing w:before="240" w:after="240"/>
        <w:ind w:left="1418"/>
        <w:contextualSpacing w:val="0"/>
        <w:jc w:val="both"/>
        <w:rPr>
          <w:lang w:val="ru-RU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ru-RU"/>
            </w:rPr>
            <m:t>y=0,8*</m:t>
          </m:r>
          <m:rad>
            <m:radPr>
              <m:degHide m:val="on"/>
              <m:ctrlPr>
                <w:rPr>
                  <w:rFonts w:ascii="Cambria Math" w:hAnsi="Cambria Math"/>
                  <w:lang w:val="ru-RU"/>
                </w:rPr>
              </m:ctrlPr>
            </m:radPr>
            <m:deg/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</m:rad>
        </m:oMath>
      </m:oMathPara>
    </w:p>
    <w:p w:rsidR="00F56FD2" w:rsidRDefault="00F56FD2" w:rsidP="00F56FD2">
      <w:pPr>
        <w:pStyle w:val="afb"/>
        <w:spacing w:after="120"/>
        <w:ind w:left="567"/>
        <w:contextualSpacing w:val="0"/>
        <w:jc w:val="both"/>
        <w:rPr>
          <w:i/>
          <w:lang w:val="ru-RU"/>
        </w:rPr>
      </w:pPr>
      <w:r w:rsidRPr="001B7944">
        <w:rPr>
          <w:i/>
          <w:lang w:val="ru-RU"/>
        </w:rPr>
        <w:t xml:space="preserve">где, </w:t>
      </w:r>
      <w:r w:rsidRPr="001B7944">
        <w:rPr>
          <w:i/>
        </w:rPr>
        <w:t>x</w:t>
      </w:r>
      <w:r w:rsidRPr="001B7944">
        <w:rPr>
          <w:i/>
          <w:lang w:val="ru-RU"/>
        </w:rPr>
        <w:t xml:space="preserve"> – Количество Поставщиков, с которыми были заключены договоры поставки в предыдущем году. Порядок проведения полевых проверок предусмотрен пунктом 7 н</w:t>
      </w:r>
      <w:r w:rsidRPr="001B7944">
        <w:rPr>
          <w:i/>
          <w:lang w:val="ru-RU"/>
        </w:rPr>
        <w:t>а</w:t>
      </w:r>
      <w:r w:rsidRPr="001B7944">
        <w:rPr>
          <w:i/>
          <w:lang w:val="ru-RU"/>
        </w:rPr>
        <w:t xml:space="preserve">стоящей </w:t>
      </w:r>
      <w:r w:rsidRPr="001B7944">
        <w:rPr>
          <w:i/>
        </w:rPr>
        <w:t>DDS</w:t>
      </w:r>
      <w:r w:rsidRPr="001B7944">
        <w:rPr>
          <w:i/>
          <w:lang w:val="ru-RU"/>
        </w:rPr>
        <w:t xml:space="preserve">. </w:t>
      </w:r>
    </w:p>
    <w:p w:rsidR="00F56FD2" w:rsidRPr="00387CDE" w:rsidRDefault="00F56FD2" w:rsidP="00F56FD2">
      <w:pPr>
        <w:pStyle w:val="afb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lang w:val="ru-RU"/>
        </w:rPr>
      </w:pPr>
      <w:r w:rsidRPr="00387CDE">
        <w:rPr>
          <w:lang w:val="ru-RU"/>
        </w:rPr>
        <w:t>Программа проверок составляется по текущей ситуации в мае каждого года. Дополн</w:t>
      </w:r>
      <w:r w:rsidRPr="00387CDE">
        <w:rPr>
          <w:lang w:val="ru-RU"/>
        </w:rPr>
        <w:t>и</w:t>
      </w:r>
      <w:r w:rsidRPr="00387CDE">
        <w:rPr>
          <w:lang w:val="ru-RU"/>
        </w:rPr>
        <w:t>тельные поставщики могут быть включены в неё только если предприятие заключает д</w:t>
      </w:r>
      <w:r w:rsidRPr="00387CDE">
        <w:rPr>
          <w:lang w:val="ru-RU"/>
        </w:rPr>
        <w:t>о</w:t>
      </w:r>
      <w:r w:rsidRPr="00387CDE">
        <w:rPr>
          <w:lang w:val="ru-RU"/>
        </w:rPr>
        <w:t xml:space="preserve">говор поставки с поставщиком, у которого фактор риска выше 40, либо при обновлении информации о поставщике, его риск фактор поднимается выше 40, но он не был заранее включён в программу проверок.  </w:t>
      </w:r>
    </w:p>
    <w:p w:rsidR="00F56FD2" w:rsidRDefault="00F56FD2" w:rsidP="00F56FD2">
      <w:pPr>
        <w:pStyle w:val="afb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lang w:val="ru-RU"/>
        </w:rPr>
      </w:pPr>
      <w:r w:rsidRPr="00387CDE">
        <w:rPr>
          <w:lang w:val="ru-RU"/>
        </w:rPr>
        <w:t>Предприятие в долгосрочной перспективе стремится заключать договора поставки с п</w:t>
      </w:r>
      <w:r w:rsidRPr="00387CDE">
        <w:rPr>
          <w:lang w:val="ru-RU"/>
        </w:rPr>
        <w:t>о</w:t>
      </w:r>
      <w:r>
        <w:rPr>
          <w:lang w:val="ru-RU"/>
        </w:rPr>
        <w:t xml:space="preserve">ставщиками с минимальным фактором риска, для чего проводится анализ ежегодного среднего фактора за год. </w:t>
      </w:r>
    </w:p>
    <w:p w:rsidR="00F56FD2" w:rsidRPr="006E1B87" w:rsidRDefault="00F56FD2" w:rsidP="00F56FD2">
      <w:pPr>
        <w:pStyle w:val="afb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lang w:val="ru-RU"/>
        </w:rPr>
      </w:pPr>
      <w:r w:rsidRPr="006E1B87">
        <w:rPr>
          <w:lang w:val="ru-RU"/>
        </w:rPr>
        <w:t>Программа полевых проверок на год составляется весной (с апреля по май). В это время большая часть договоров поставки заключена (возможно провести анализ всех обно</w:t>
      </w:r>
      <w:r w:rsidRPr="006E1B87">
        <w:rPr>
          <w:lang w:val="ru-RU"/>
        </w:rPr>
        <w:t>в</w:t>
      </w:r>
      <w:r w:rsidRPr="006E1B87">
        <w:rPr>
          <w:lang w:val="ru-RU"/>
        </w:rPr>
        <w:t xml:space="preserve">ленных </w:t>
      </w:r>
      <w:r>
        <w:rPr>
          <w:lang w:val="ru-RU"/>
        </w:rPr>
        <w:t>Приложений 2</w:t>
      </w:r>
      <w:r w:rsidRPr="006E1B87">
        <w:rPr>
          <w:lang w:val="ru-RU"/>
        </w:rPr>
        <w:t>), но всё ещё проблематично попадание в лес, ввиду распутицы. К концу мая программа утверждается</w:t>
      </w:r>
      <w:r w:rsidR="00130503">
        <w:rPr>
          <w:lang w:val="ru-RU"/>
        </w:rPr>
        <w:t xml:space="preserve"> </w:t>
      </w:r>
      <w:r w:rsidRPr="006E1B87">
        <w:rPr>
          <w:lang w:val="ru-RU"/>
        </w:rPr>
        <w:t xml:space="preserve"> и с 1 июня каждого года начинается её выполнение</w:t>
      </w:r>
      <w:r>
        <w:rPr>
          <w:lang w:val="ru-RU"/>
        </w:rPr>
        <w:t>.</w:t>
      </w:r>
    </w:p>
    <w:p w:rsidR="00F56FD2" w:rsidRPr="00F56FD2" w:rsidRDefault="00F56FD2" w:rsidP="00F56FD2">
      <w:pPr>
        <w:spacing w:after="120"/>
        <w:jc w:val="both"/>
        <w:rPr>
          <w:lang w:val="ru-RU"/>
        </w:rPr>
      </w:pPr>
    </w:p>
    <w:p w:rsidR="00D121EE" w:rsidRPr="00570EE9" w:rsidRDefault="00D121EE" w:rsidP="00D121EE">
      <w:pPr>
        <w:pStyle w:val="2"/>
        <w:numPr>
          <w:ilvl w:val="0"/>
          <w:numId w:val="3"/>
        </w:numPr>
        <w:rPr>
          <w:lang w:val="ru-RU"/>
        </w:rPr>
      </w:pPr>
      <w:bookmarkStart w:id="8" w:name="_Toc487455551"/>
      <w:r>
        <w:rPr>
          <w:lang w:val="ru-RU"/>
        </w:rPr>
        <w:lastRenderedPageBreak/>
        <w:t xml:space="preserve">Полевые проверки </w:t>
      </w:r>
      <w:r w:rsidR="002C4B69">
        <w:rPr>
          <w:lang w:val="ru-RU"/>
        </w:rPr>
        <w:t>поставщиков</w:t>
      </w:r>
      <w:r w:rsidR="00570EE9">
        <w:rPr>
          <w:lang w:val="ru-RU"/>
        </w:rPr>
        <w:t xml:space="preserve"> (общая контрольная мера)</w:t>
      </w:r>
      <w:bookmarkEnd w:id="8"/>
    </w:p>
    <w:p w:rsidR="00D121EE" w:rsidRDefault="00D121EE" w:rsidP="006E1B87">
      <w:pPr>
        <w:pStyle w:val="afb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lang w:val="ru-RU"/>
        </w:rPr>
      </w:pPr>
      <w:r>
        <w:rPr>
          <w:lang w:val="ru-RU"/>
        </w:rPr>
        <w:t>Полевые проверки являются одной из основных контрольных мер, осуществляемых предприятием для контроля добросовестности поставщиков и подтверждения правил</w:t>
      </w:r>
      <w:r>
        <w:rPr>
          <w:lang w:val="ru-RU"/>
        </w:rPr>
        <w:t>ь</w:t>
      </w:r>
      <w:r>
        <w:rPr>
          <w:lang w:val="ru-RU"/>
        </w:rPr>
        <w:t xml:space="preserve">ности, предоставляемой ими информации. </w:t>
      </w:r>
    </w:p>
    <w:p w:rsidR="006E1B87" w:rsidRDefault="002C4B69" w:rsidP="006E1B87">
      <w:pPr>
        <w:pStyle w:val="afb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lang w:val="ru-RU"/>
        </w:rPr>
      </w:pPr>
      <w:r>
        <w:rPr>
          <w:lang w:val="ru-RU"/>
        </w:rPr>
        <w:t>Для того, чтобы обеспечить непредвзятость полевых проверок, Предприятие привлекает к проверкам стороннюю организацию</w:t>
      </w:r>
      <w:r w:rsidR="00B7155D">
        <w:rPr>
          <w:lang w:val="ru-RU"/>
        </w:rPr>
        <w:t xml:space="preserve"> или экспертов, имеющих</w:t>
      </w:r>
      <w:r w:rsidR="00130503">
        <w:rPr>
          <w:lang w:val="ru-RU"/>
        </w:rPr>
        <w:t xml:space="preserve"> </w:t>
      </w:r>
      <w:r w:rsidR="00B7155D">
        <w:rPr>
          <w:lang w:val="ru-RU"/>
        </w:rPr>
        <w:t>профильное</w:t>
      </w:r>
      <w:r w:rsidR="00130503">
        <w:rPr>
          <w:lang w:val="ru-RU"/>
        </w:rPr>
        <w:t xml:space="preserve"> </w:t>
      </w:r>
      <w:r w:rsidR="00B219CB">
        <w:rPr>
          <w:lang w:val="ru-RU"/>
        </w:rPr>
        <w:t>высшее лесное</w:t>
      </w:r>
      <w:r w:rsidR="00B7155D">
        <w:rPr>
          <w:lang w:val="ru-RU"/>
        </w:rPr>
        <w:t xml:space="preserve"> образование и опыт</w:t>
      </w:r>
      <w:r>
        <w:rPr>
          <w:lang w:val="ru-RU"/>
        </w:rPr>
        <w:t xml:space="preserve"> проведения проверок в рамках лесной сертификации.  </w:t>
      </w:r>
    </w:p>
    <w:p w:rsidR="00104A18" w:rsidRPr="006E1B87" w:rsidRDefault="006E1B87" w:rsidP="006E1B87">
      <w:pPr>
        <w:pStyle w:val="afb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lang w:val="ru-RU"/>
        </w:rPr>
      </w:pPr>
      <w:r w:rsidRPr="006E1B87">
        <w:rPr>
          <w:lang w:val="ru-RU"/>
        </w:rPr>
        <w:t>Поле</w:t>
      </w:r>
      <w:r>
        <w:rPr>
          <w:lang w:val="ru-RU"/>
        </w:rPr>
        <w:t>вые проверки осуществляются согласно программы проверок (см. раздел 6) утве</w:t>
      </w:r>
      <w:r>
        <w:rPr>
          <w:lang w:val="ru-RU"/>
        </w:rPr>
        <w:t>р</w:t>
      </w:r>
      <w:r>
        <w:rPr>
          <w:lang w:val="ru-RU"/>
        </w:rPr>
        <w:t>ждённой к началу июня каждого года.</w:t>
      </w:r>
    </w:p>
    <w:p w:rsidR="00104A18" w:rsidRDefault="00104A18" w:rsidP="006E1B87">
      <w:pPr>
        <w:pStyle w:val="afb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lang w:val="ru-RU"/>
        </w:rPr>
      </w:pPr>
      <w:r>
        <w:rPr>
          <w:lang w:val="ru-RU"/>
        </w:rPr>
        <w:t>Одна полевая проверка – это проверка контрагента предприятия (поставщика) и всей его цепочки поставок, вплоть до разрешительных документов</w:t>
      </w:r>
      <w:r w:rsidR="006E1B87">
        <w:rPr>
          <w:lang w:val="ru-RU"/>
        </w:rPr>
        <w:t xml:space="preserve"> с выездом на места (загото</w:t>
      </w:r>
      <w:r w:rsidR="006E1B87">
        <w:rPr>
          <w:lang w:val="ru-RU"/>
        </w:rPr>
        <w:t>в</w:t>
      </w:r>
      <w:r w:rsidR="006E1B87">
        <w:rPr>
          <w:lang w:val="ru-RU"/>
        </w:rPr>
        <w:t>ки, складирования, оформления бухгалтерских</w:t>
      </w:r>
      <w:r w:rsidR="00130503">
        <w:rPr>
          <w:lang w:val="ru-RU"/>
        </w:rPr>
        <w:t xml:space="preserve"> </w:t>
      </w:r>
      <w:r w:rsidR="006E1B87">
        <w:rPr>
          <w:lang w:val="ru-RU"/>
        </w:rPr>
        <w:t xml:space="preserve"> документов)</w:t>
      </w:r>
      <w:r>
        <w:rPr>
          <w:lang w:val="ru-RU"/>
        </w:rPr>
        <w:t>.</w:t>
      </w:r>
    </w:p>
    <w:p w:rsidR="00104A18" w:rsidRDefault="00104A18" w:rsidP="006E1B87">
      <w:pPr>
        <w:pStyle w:val="afb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lang w:val="ru-RU"/>
        </w:rPr>
      </w:pPr>
      <w:r>
        <w:rPr>
          <w:lang w:val="ru-RU"/>
        </w:rPr>
        <w:t>По результатам проверки подрядной организацией составляется отчёт</w:t>
      </w:r>
      <w:r w:rsidR="006E1B87">
        <w:rPr>
          <w:lang w:val="ru-RU"/>
        </w:rPr>
        <w:t xml:space="preserve"> (по форме </w:t>
      </w:r>
      <w:r w:rsidR="006E1B87" w:rsidRPr="006E1B87">
        <w:rPr>
          <w:b/>
          <w:lang w:val="ru-RU"/>
        </w:rPr>
        <w:t>Пр</w:t>
      </w:r>
      <w:r w:rsidR="006E1B87" w:rsidRPr="006E1B87">
        <w:rPr>
          <w:b/>
          <w:lang w:val="ru-RU"/>
        </w:rPr>
        <w:t>и</w:t>
      </w:r>
      <w:r w:rsidR="006E1B87" w:rsidRPr="006E1B87">
        <w:rPr>
          <w:b/>
          <w:lang w:val="ru-RU"/>
        </w:rPr>
        <w:t>ложения 4</w:t>
      </w:r>
      <w:r w:rsidR="006E1B87">
        <w:rPr>
          <w:lang w:val="ru-RU"/>
        </w:rPr>
        <w:t>)</w:t>
      </w:r>
      <w:r>
        <w:rPr>
          <w:lang w:val="ru-RU"/>
        </w:rPr>
        <w:t xml:space="preserve">, в котором описывается вся цепочка поставщика, проверяется актуальность и достоверность предоставляемой на Предприятие информации и определяется уровень риска поставки по цепочке. Если </w:t>
      </w:r>
      <w:r w:rsidR="00B21F31">
        <w:rPr>
          <w:lang w:val="ru-RU"/>
        </w:rPr>
        <w:t>экспертами, проводящими проверку, выявляются опр</w:t>
      </w:r>
      <w:r w:rsidR="00B21F31">
        <w:rPr>
          <w:lang w:val="ru-RU"/>
        </w:rPr>
        <w:t>е</w:t>
      </w:r>
      <w:r w:rsidR="00B21F31">
        <w:rPr>
          <w:lang w:val="ru-RU"/>
        </w:rPr>
        <w:t>деленные риски поставки неконтролируемой древесины на Предприятие, то это фикс</w:t>
      </w:r>
      <w:r w:rsidR="00B21F31">
        <w:rPr>
          <w:lang w:val="ru-RU"/>
        </w:rPr>
        <w:t>и</w:t>
      </w:r>
      <w:r w:rsidR="00B21F31">
        <w:rPr>
          <w:lang w:val="ru-RU"/>
        </w:rPr>
        <w:t xml:space="preserve">руется в разделе несоответствия </w:t>
      </w:r>
      <w:r w:rsidR="00130503">
        <w:rPr>
          <w:lang w:val="ru-RU"/>
        </w:rPr>
        <w:t xml:space="preserve"> </w:t>
      </w:r>
      <w:r w:rsidR="00B21F31">
        <w:rPr>
          <w:lang w:val="ru-RU"/>
        </w:rPr>
        <w:t>отчёта</w:t>
      </w:r>
      <w:r w:rsidR="00130503">
        <w:rPr>
          <w:lang w:val="ru-RU"/>
        </w:rPr>
        <w:t xml:space="preserve"> </w:t>
      </w:r>
      <w:r w:rsidR="00B21F31">
        <w:rPr>
          <w:lang w:val="ru-RU"/>
        </w:rPr>
        <w:t xml:space="preserve"> о полевых проверках. </w:t>
      </w:r>
    </w:p>
    <w:p w:rsidR="006E1B87" w:rsidRDefault="00B21F31" w:rsidP="006E1B87">
      <w:pPr>
        <w:pStyle w:val="afb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lang w:val="ru-RU"/>
        </w:rPr>
      </w:pPr>
      <w:r>
        <w:rPr>
          <w:lang w:val="ru-RU"/>
        </w:rPr>
        <w:t>По результатам полевых проверок и анализа отчётов Предприятие принимает реше</w:t>
      </w:r>
      <w:r w:rsidR="00130503">
        <w:rPr>
          <w:lang w:val="ru-RU"/>
        </w:rPr>
        <w:t xml:space="preserve">ние о необходимых корректирующих </w:t>
      </w:r>
      <w:r>
        <w:rPr>
          <w:lang w:val="ru-RU"/>
        </w:rPr>
        <w:t xml:space="preserve"> действиях в отношении конкретного поставщика, либо о прекращении действия договора с ним.</w:t>
      </w:r>
      <w:r w:rsidR="00130503">
        <w:rPr>
          <w:lang w:val="ru-RU"/>
        </w:rPr>
        <w:t xml:space="preserve"> </w:t>
      </w:r>
      <w:r w:rsidR="006E1B87" w:rsidRPr="006E1B87">
        <w:rPr>
          <w:lang w:val="ru-RU"/>
        </w:rPr>
        <w:t xml:space="preserve">Нормативный срок устранения несоответствия – </w:t>
      </w:r>
      <w:r w:rsidR="006E1B87" w:rsidRPr="00130503">
        <w:rPr>
          <w:lang w:val="ru-RU"/>
        </w:rPr>
        <w:t>1 месяц.</w:t>
      </w:r>
      <w:r w:rsidR="006E1B87" w:rsidRPr="006E1B87">
        <w:rPr>
          <w:lang w:val="ru-RU"/>
        </w:rPr>
        <w:t xml:space="preserve"> </w:t>
      </w:r>
    </w:p>
    <w:p w:rsidR="00B72D6F" w:rsidRPr="006E1B87" w:rsidRDefault="00B72D6F" w:rsidP="006E1B87">
      <w:pPr>
        <w:pStyle w:val="afb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lang w:val="ru-RU"/>
        </w:rPr>
      </w:pPr>
      <w:r>
        <w:rPr>
          <w:lang w:val="ru-RU"/>
        </w:rPr>
        <w:t xml:space="preserve">Резюме отчёта о полевых проверках публикуется ежегодно на сайте предприятия </w:t>
      </w:r>
      <w:r w:rsidRPr="00B72D6F">
        <w:rPr>
          <w:b/>
          <w:color w:val="FF0000"/>
          <w:lang w:val="ru-RU"/>
        </w:rPr>
        <w:t xml:space="preserve">(6.2 </w:t>
      </w:r>
      <w:r w:rsidRPr="00B72D6F">
        <w:rPr>
          <w:b/>
          <w:color w:val="FF0000"/>
        </w:rPr>
        <w:t>d</w:t>
      </w:r>
      <w:r w:rsidRPr="00B72D6F">
        <w:rPr>
          <w:b/>
          <w:color w:val="FF0000"/>
          <w:lang w:val="ru-RU"/>
        </w:rPr>
        <w:t>)</w:t>
      </w:r>
    </w:p>
    <w:p w:rsidR="00570EE9" w:rsidRDefault="00570EE9" w:rsidP="00570EE9">
      <w:pPr>
        <w:pStyle w:val="2"/>
        <w:numPr>
          <w:ilvl w:val="0"/>
          <w:numId w:val="3"/>
        </w:numPr>
        <w:rPr>
          <w:lang w:val="ru-RU"/>
        </w:rPr>
      </w:pPr>
      <w:bookmarkStart w:id="9" w:name="_Toc487455552"/>
      <w:r>
        <w:rPr>
          <w:lang w:val="ru-RU"/>
        </w:rPr>
        <w:lastRenderedPageBreak/>
        <w:t xml:space="preserve">Консультации с заинтересованными сторонами </w:t>
      </w:r>
      <w:bookmarkEnd w:id="9"/>
    </w:p>
    <w:p w:rsidR="00F56FD2" w:rsidRPr="00387CDE" w:rsidRDefault="00F56FD2" w:rsidP="00F56FD2">
      <w:pPr>
        <w:pStyle w:val="afb"/>
        <w:numPr>
          <w:ilvl w:val="1"/>
          <w:numId w:val="3"/>
        </w:numPr>
        <w:spacing w:after="120"/>
        <w:contextualSpacing w:val="0"/>
        <w:jc w:val="both"/>
        <w:rPr>
          <w:lang w:val="ru-RU"/>
        </w:rPr>
      </w:pPr>
      <w:bookmarkStart w:id="10" w:name="_Toc487455553"/>
      <w:r w:rsidRPr="00387CDE">
        <w:rPr>
          <w:lang w:val="ru-RU"/>
        </w:rPr>
        <w:t>С учётом результатов оценки риска Предприятие проводит консультации с заинтер</w:t>
      </w:r>
      <w:r w:rsidRPr="00387CDE">
        <w:rPr>
          <w:lang w:val="ru-RU"/>
        </w:rPr>
        <w:t>е</w:t>
      </w:r>
      <w:r w:rsidRPr="00387CDE">
        <w:rPr>
          <w:lang w:val="ru-RU"/>
        </w:rPr>
        <w:t>сованными сторонами и экспертами в качестве одной из общих контрольных мер, а также в виде частной контрольной меры, в зависимости от риска;</w:t>
      </w:r>
    </w:p>
    <w:p w:rsidR="00F56FD2" w:rsidRPr="00387CDE" w:rsidRDefault="00F56FD2" w:rsidP="00F56FD2">
      <w:pPr>
        <w:pStyle w:val="afb"/>
        <w:numPr>
          <w:ilvl w:val="1"/>
          <w:numId w:val="3"/>
        </w:numPr>
        <w:spacing w:after="120"/>
        <w:contextualSpacing w:val="0"/>
        <w:jc w:val="both"/>
        <w:rPr>
          <w:lang w:val="ru-RU"/>
        </w:rPr>
      </w:pPr>
      <w:r w:rsidRPr="00387CDE">
        <w:rPr>
          <w:lang w:val="ru-RU"/>
        </w:rPr>
        <w:t xml:space="preserve">В рамках настоящей </w:t>
      </w:r>
      <w:r w:rsidRPr="00387CDE">
        <w:t>DDS</w:t>
      </w:r>
      <w:r w:rsidRPr="00387CDE">
        <w:rPr>
          <w:lang w:val="ru-RU"/>
        </w:rPr>
        <w:t xml:space="preserve"> предприятие рассматривает только комментарии </w:t>
      </w:r>
      <w:r w:rsidR="00130503">
        <w:rPr>
          <w:lang w:val="ru-RU"/>
        </w:rPr>
        <w:t xml:space="preserve"> </w:t>
      </w:r>
      <w:r w:rsidRPr="00387CDE">
        <w:rPr>
          <w:lang w:val="ru-RU"/>
        </w:rPr>
        <w:t>относ</w:t>
      </w:r>
      <w:r w:rsidRPr="00387CDE">
        <w:rPr>
          <w:lang w:val="ru-RU"/>
        </w:rPr>
        <w:t>я</w:t>
      </w:r>
      <w:r w:rsidRPr="00387CDE">
        <w:rPr>
          <w:lang w:val="ru-RU"/>
        </w:rPr>
        <w:t xml:space="preserve">щиеся к </w:t>
      </w:r>
      <w:r w:rsidRPr="00387CDE">
        <w:t>FSC</w:t>
      </w:r>
      <w:r w:rsidRPr="00387CDE">
        <w:rPr>
          <w:lang w:val="ru-RU"/>
        </w:rPr>
        <w:t xml:space="preserve"> контролируемой древесине и к рискам, которые могут вести к поставкам на предприятие недопустимых категорий древесины;</w:t>
      </w:r>
    </w:p>
    <w:p w:rsidR="00F56FD2" w:rsidRPr="00387CDE" w:rsidRDefault="00F56FD2" w:rsidP="00F56FD2">
      <w:pPr>
        <w:pStyle w:val="afb"/>
        <w:numPr>
          <w:ilvl w:val="1"/>
          <w:numId w:val="3"/>
        </w:numPr>
        <w:spacing w:after="120"/>
        <w:contextualSpacing w:val="0"/>
        <w:jc w:val="both"/>
        <w:rPr>
          <w:lang w:val="ru-RU"/>
        </w:rPr>
      </w:pPr>
      <w:r w:rsidRPr="00387CDE">
        <w:rPr>
          <w:lang w:val="ru-RU"/>
        </w:rPr>
        <w:t xml:space="preserve">Предприятие на постоянной основе выявляет и включает в «Список заинтересованных сторон </w:t>
      </w:r>
      <w:r w:rsidRPr="00387CDE">
        <w:t>DDS</w:t>
      </w:r>
      <w:r w:rsidRPr="00387CDE">
        <w:rPr>
          <w:lang w:val="ru-RU"/>
        </w:rPr>
        <w:t xml:space="preserve">» сведения о заинтересованных сторонах. Список является </w:t>
      </w:r>
      <w:r w:rsidRPr="00387CDE">
        <w:rPr>
          <w:b/>
          <w:lang w:val="ru-RU"/>
        </w:rPr>
        <w:t>Приложением 6</w:t>
      </w:r>
      <w:r w:rsidRPr="00387CDE">
        <w:rPr>
          <w:lang w:val="ru-RU"/>
        </w:rPr>
        <w:t xml:space="preserve"> к настоящей </w:t>
      </w:r>
      <w:r w:rsidRPr="00387CDE">
        <w:t>DDS</w:t>
      </w:r>
      <w:r w:rsidRPr="00387CDE">
        <w:rPr>
          <w:lang w:val="ru-RU"/>
        </w:rPr>
        <w:t xml:space="preserve">; </w:t>
      </w:r>
    </w:p>
    <w:p w:rsidR="00F56FD2" w:rsidRPr="00387CDE" w:rsidRDefault="00F56FD2" w:rsidP="00F56FD2">
      <w:pPr>
        <w:pStyle w:val="afb"/>
        <w:numPr>
          <w:ilvl w:val="1"/>
          <w:numId w:val="3"/>
        </w:numPr>
        <w:spacing w:after="120"/>
        <w:contextualSpacing w:val="0"/>
        <w:jc w:val="both"/>
        <w:rPr>
          <w:lang w:val="ru-RU"/>
        </w:rPr>
      </w:pPr>
      <w:r w:rsidRPr="00387CDE">
        <w:rPr>
          <w:lang w:val="ru-RU"/>
        </w:rPr>
        <w:t>В частных случаях, когда при камеральной проверке Поставщика, выявляется необх</w:t>
      </w:r>
      <w:r w:rsidRPr="00387CDE">
        <w:rPr>
          <w:lang w:val="ru-RU"/>
        </w:rPr>
        <w:t>о</w:t>
      </w:r>
      <w:r w:rsidRPr="00387CDE">
        <w:rPr>
          <w:lang w:val="ru-RU"/>
        </w:rPr>
        <w:t>димость дополнительных консультаций (например, в связи с близостью ЛВПЦ или возможного проживания коренных народов в районе заготовки), Предприятие осущ</w:t>
      </w:r>
      <w:r w:rsidRPr="00387CDE">
        <w:rPr>
          <w:lang w:val="ru-RU"/>
        </w:rPr>
        <w:t>е</w:t>
      </w:r>
      <w:r w:rsidRPr="00387CDE">
        <w:rPr>
          <w:lang w:val="ru-RU"/>
        </w:rPr>
        <w:t>ствляет целенаправленную работу с</w:t>
      </w:r>
      <w:r w:rsidR="00130503">
        <w:rPr>
          <w:lang w:val="ru-RU"/>
        </w:rPr>
        <w:t xml:space="preserve"> </w:t>
      </w:r>
      <w:r w:rsidRPr="00387CDE">
        <w:rPr>
          <w:lang w:val="ru-RU"/>
        </w:rPr>
        <w:t xml:space="preserve"> локальными</w:t>
      </w:r>
      <w:r w:rsidR="00130503">
        <w:rPr>
          <w:lang w:val="ru-RU"/>
        </w:rPr>
        <w:t xml:space="preserve"> </w:t>
      </w:r>
      <w:r w:rsidRPr="00387CDE">
        <w:rPr>
          <w:lang w:val="ru-RU"/>
        </w:rPr>
        <w:t xml:space="preserve"> стейкхолдерами и так же заносит их в </w:t>
      </w:r>
      <w:r w:rsidR="00130503">
        <w:rPr>
          <w:lang w:val="ru-RU"/>
        </w:rPr>
        <w:t xml:space="preserve"> </w:t>
      </w:r>
      <w:r w:rsidRPr="00387CDE">
        <w:rPr>
          <w:b/>
          <w:lang w:val="ru-RU"/>
        </w:rPr>
        <w:t>Приложение 6</w:t>
      </w:r>
      <w:r w:rsidRPr="00387CDE">
        <w:rPr>
          <w:lang w:val="ru-RU"/>
        </w:rPr>
        <w:t>. (см. частные контрольные меры);</w:t>
      </w:r>
    </w:p>
    <w:p w:rsidR="00F56FD2" w:rsidRPr="00387CDE" w:rsidRDefault="00F56FD2" w:rsidP="00F56FD2">
      <w:pPr>
        <w:pStyle w:val="afb"/>
        <w:numPr>
          <w:ilvl w:val="1"/>
          <w:numId w:val="3"/>
        </w:numPr>
        <w:spacing w:after="120"/>
        <w:contextualSpacing w:val="0"/>
        <w:jc w:val="both"/>
        <w:rPr>
          <w:lang w:val="ru-RU"/>
        </w:rPr>
      </w:pPr>
      <w:r w:rsidRPr="00387CDE">
        <w:rPr>
          <w:lang w:val="ru-RU"/>
        </w:rPr>
        <w:t>В список включаются все заинтересованные стороны</w:t>
      </w:r>
      <w:r w:rsidR="00130503">
        <w:rPr>
          <w:lang w:val="ru-RU"/>
        </w:rPr>
        <w:t xml:space="preserve"> </w:t>
      </w:r>
      <w:r w:rsidRPr="00387CDE">
        <w:rPr>
          <w:lang w:val="ru-RU"/>
        </w:rPr>
        <w:t xml:space="preserve"> представляющие экономич</w:t>
      </w:r>
      <w:r w:rsidRPr="00387CDE">
        <w:rPr>
          <w:lang w:val="ru-RU"/>
        </w:rPr>
        <w:t>е</w:t>
      </w:r>
      <w:r w:rsidRPr="00387CDE">
        <w:rPr>
          <w:lang w:val="ru-RU"/>
        </w:rPr>
        <w:t>ские, социальные и экологические интересы на федеральном уровне и в регионах п</w:t>
      </w:r>
      <w:r w:rsidRPr="00387CDE">
        <w:rPr>
          <w:lang w:val="ru-RU"/>
        </w:rPr>
        <w:t>о</w:t>
      </w:r>
      <w:r w:rsidRPr="00387CDE">
        <w:rPr>
          <w:lang w:val="ru-RU"/>
        </w:rPr>
        <w:t xml:space="preserve">ставок контролируемой древесины. Список составляется на основании официального списка заинтересованных сторон </w:t>
      </w:r>
      <w:r w:rsidRPr="00387CDE">
        <w:t>FSC</w:t>
      </w:r>
      <w:r w:rsidRPr="00387CDE">
        <w:rPr>
          <w:lang w:val="ru-RU"/>
        </w:rPr>
        <w:t xml:space="preserve"> размещенного на официальном сайте </w:t>
      </w:r>
      <w:hyperlink r:id="rId12" w:history="1">
        <w:r w:rsidRPr="00387CDE">
          <w:rPr>
            <w:rStyle w:val="afa"/>
          </w:rPr>
          <w:t>www</w:t>
        </w:r>
        <w:r w:rsidRPr="00387CDE">
          <w:rPr>
            <w:rStyle w:val="afa"/>
            <w:lang w:val="ru-RU"/>
          </w:rPr>
          <w:t>.</w:t>
        </w:r>
        <w:r w:rsidRPr="00387CDE">
          <w:rPr>
            <w:rStyle w:val="afa"/>
          </w:rPr>
          <w:t>fsc</w:t>
        </w:r>
        <w:r w:rsidRPr="00387CDE">
          <w:rPr>
            <w:rStyle w:val="afa"/>
            <w:lang w:val="ru-RU"/>
          </w:rPr>
          <w:t>.</w:t>
        </w:r>
        <w:r w:rsidRPr="00387CDE">
          <w:rPr>
            <w:rStyle w:val="afa"/>
          </w:rPr>
          <w:t>ru</w:t>
        </w:r>
      </w:hyperlink>
      <w:r w:rsidRPr="00387CDE">
        <w:rPr>
          <w:lang w:val="ru-RU"/>
        </w:rPr>
        <w:t>, и до</w:t>
      </w:r>
      <w:r>
        <w:rPr>
          <w:lang w:val="ru-RU"/>
        </w:rPr>
        <w:t xml:space="preserve">полнено в него включаются локальные администрации, органы управления лесами и </w:t>
      </w:r>
      <w:r w:rsidRPr="00387CDE">
        <w:rPr>
          <w:lang w:val="ru-RU"/>
        </w:rPr>
        <w:t>все выявленные в ходе полевых проверок заинтересованные стороны, по месту ведения</w:t>
      </w:r>
      <w:r w:rsidR="00130503">
        <w:rPr>
          <w:lang w:val="ru-RU"/>
        </w:rPr>
        <w:t xml:space="preserve"> </w:t>
      </w:r>
      <w:r w:rsidRPr="00387CDE">
        <w:rPr>
          <w:lang w:val="ru-RU"/>
        </w:rPr>
        <w:t xml:space="preserve"> заготовки</w:t>
      </w:r>
      <w:r w:rsidR="00130503">
        <w:rPr>
          <w:lang w:val="ru-RU"/>
        </w:rPr>
        <w:t xml:space="preserve"> </w:t>
      </w:r>
      <w:r w:rsidRPr="00387CDE">
        <w:rPr>
          <w:lang w:val="ru-RU"/>
        </w:rPr>
        <w:t xml:space="preserve"> леса Поставщиками. </w:t>
      </w:r>
    </w:p>
    <w:p w:rsidR="00F56FD2" w:rsidRPr="00387CDE" w:rsidRDefault="00F56FD2" w:rsidP="00F56FD2">
      <w:pPr>
        <w:pStyle w:val="afb"/>
        <w:numPr>
          <w:ilvl w:val="1"/>
          <w:numId w:val="3"/>
        </w:numPr>
        <w:spacing w:after="120"/>
        <w:ind w:left="788" w:hanging="431"/>
        <w:contextualSpacing w:val="0"/>
        <w:jc w:val="both"/>
        <w:rPr>
          <w:lang w:val="ru-RU"/>
        </w:rPr>
      </w:pPr>
      <w:r w:rsidRPr="00387CDE">
        <w:rPr>
          <w:lang w:val="ru-RU"/>
        </w:rPr>
        <w:t>Заинтересованные стороны, включённые Предприятием в Список заинтересованных сторон, приглашаются для участия в консультациях посредством направления краткого письма с описанием проводимой программы проверок и ссылкой на публично до</w:t>
      </w:r>
      <w:r w:rsidRPr="00387CDE">
        <w:rPr>
          <w:lang w:val="ru-RU"/>
        </w:rPr>
        <w:t>с</w:t>
      </w:r>
      <w:r w:rsidRPr="00387CDE">
        <w:rPr>
          <w:lang w:val="ru-RU"/>
        </w:rPr>
        <w:t xml:space="preserve">тупное резюме </w:t>
      </w:r>
      <w:r w:rsidRPr="00387CDE">
        <w:t>DDS</w:t>
      </w:r>
      <w:r w:rsidRPr="00387CDE">
        <w:rPr>
          <w:lang w:val="ru-RU"/>
        </w:rPr>
        <w:t xml:space="preserve"> </w:t>
      </w:r>
      <w:r w:rsidR="00130503">
        <w:rPr>
          <w:lang w:val="ru-RU"/>
        </w:rPr>
        <w:t xml:space="preserve"> </w:t>
      </w:r>
      <w:r w:rsidRPr="00387CDE">
        <w:rPr>
          <w:lang w:val="ru-RU"/>
        </w:rPr>
        <w:t>не менее чем за 6 недель:</w:t>
      </w:r>
    </w:p>
    <w:p w:rsidR="00F56FD2" w:rsidRPr="00387CDE" w:rsidRDefault="00F56FD2" w:rsidP="00F56FD2">
      <w:pPr>
        <w:pStyle w:val="afb"/>
        <w:numPr>
          <w:ilvl w:val="2"/>
          <w:numId w:val="3"/>
        </w:numPr>
        <w:spacing w:after="120"/>
        <w:ind w:left="1560" w:hanging="709"/>
        <w:contextualSpacing w:val="0"/>
        <w:jc w:val="both"/>
        <w:rPr>
          <w:lang w:val="ru-RU"/>
        </w:rPr>
      </w:pPr>
      <w:r w:rsidRPr="00387CDE">
        <w:rPr>
          <w:lang w:val="ru-RU"/>
        </w:rPr>
        <w:t xml:space="preserve">До начала внедрения настоящей </w:t>
      </w:r>
      <w:r w:rsidRPr="00387CDE">
        <w:t>DDS</w:t>
      </w:r>
      <w:r w:rsidRPr="00387CDE">
        <w:rPr>
          <w:lang w:val="ru-RU"/>
        </w:rPr>
        <w:t>;</w:t>
      </w:r>
    </w:p>
    <w:p w:rsidR="00F56FD2" w:rsidRPr="00387CDE" w:rsidRDefault="00F56FD2" w:rsidP="00F56FD2">
      <w:pPr>
        <w:pStyle w:val="afb"/>
        <w:numPr>
          <w:ilvl w:val="2"/>
          <w:numId w:val="3"/>
        </w:numPr>
        <w:spacing w:after="120"/>
        <w:ind w:left="1560" w:hanging="709"/>
        <w:contextualSpacing w:val="0"/>
        <w:jc w:val="both"/>
        <w:rPr>
          <w:lang w:val="ru-RU"/>
        </w:rPr>
      </w:pPr>
      <w:r w:rsidRPr="00387CDE">
        <w:rPr>
          <w:lang w:val="ru-RU"/>
        </w:rPr>
        <w:t xml:space="preserve">До утверждения обновлённой версии </w:t>
      </w:r>
      <w:r w:rsidRPr="00387CDE">
        <w:t>DDS</w:t>
      </w:r>
      <w:r w:rsidRPr="00387CDE">
        <w:rPr>
          <w:lang w:val="ru-RU"/>
        </w:rPr>
        <w:t xml:space="preserve">; </w:t>
      </w:r>
    </w:p>
    <w:p w:rsidR="00F56FD2" w:rsidRPr="00387CDE" w:rsidRDefault="00F56FD2" w:rsidP="00F56FD2">
      <w:pPr>
        <w:pStyle w:val="afb"/>
        <w:numPr>
          <w:ilvl w:val="2"/>
          <w:numId w:val="3"/>
        </w:numPr>
        <w:spacing w:after="120"/>
        <w:ind w:left="1560" w:hanging="709"/>
        <w:contextualSpacing w:val="0"/>
        <w:jc w:val="both"/>
        <w:rPr>
          <w:lang w:val="ru-RU"/>
        </w:rPr>
      </w:pPr>
      <w:r w:rsidRPr="00387CDE">
        <w:rPr>
          <w:lang w:val="ru-RU"/>
        </w:rPr>
        <w:t xml:space="preserve">До </w:t>
      </w:r>
      <w:r w:rsidRPr="00387CDE">
        <w:t xml:space="preserve">1 </w:t>
      </w:r>
      <w:r w:rsidRPr="00387CDE">
        <w:rPr>
          <w:lang w:val="ru-RU"/>
        </w:rPr>
        <w:t>июня каждого года.</w:t>
      </w:r>
    </w:p>
    <w:p w:rsidR="00F56FD2" w:rsidRPr="00387CDE" w:rsidRDefault="00F56FD2" w:rsidP="00F56FD2">
      <w:pPr>
        <w:pStyle w:val="afb"/>
        <w:numPr>
          <w:ilvl w:val="1"/>
          <w:numId w:val="3"/>
        </w:numPr>
        <w:spacing w:after="120"/>
        <w:contextualSpacing w:val="0"/>
        <w:jc w:val="both"/>
        <w:rPr>
          <w:lang w:val="ru-RU"/>
        </w:rPr>
      </w:pPr>
      <w:r w:rsidRPr="00387CDE">
        <w:rPr>
          <w:lang w:val="ru-RU"/>
        </w:rPr>
        <w:t>Частные консультации проводятся перед заключением договора поставки, либо перед расширением цепочки поставок поставщика (обновлении Приложения 2 к договору поставки). Поставка из соответствующих районов разрешается только через 6 недель, после проведения консультаций (направления соответствующих писем</w:t>
      </w:r>
      <w:r w:rsidR="0088796C">
        <w:rPr>
          <w:lang w:val="ru-RU"/>
        </w:rPr>
        <w:t xml:space="preserve"> </w:t>
      </w:r>
      <w:r w:rsidRPr="00387CDE">
        <w:rPr>
          <w:lang w:val="ru-RU"/>
        </w:rPr>
        <w:t>-</w:t>
      </w:r>
      <w:r w:rsidR="0088796C">
        <w:rPr>
          <w:lang w:val="ru-RU"/>
        </w:rPr>
        <w:t xml:space="preserve"> </w:t>
      </w:r>
      <w:r w:rsidRPr="00387CDE">
        <w:rPr>
          <w:lang w:val="ru-RU"/>
        </w:rPr>
        <w:t>приглашений к консультациям) и только в том случае, если не были получены негативные комме</w:t>
      </w:r>
      <w:r w:rsidRPr="00387CDE">
        <w:rPr>
          <w:lang w:val="ru-RU"/>
        </w:rPr>
        <w:t>н</w:t>
      </w:r>
      <w:r w:rsidRPr="00387CDE">
        <w:rPr>
          <w:lang w:val="ru-RU"/>
        </w:rPr>
        <w:t>тарии.</w:t>
      </w:r>
    </w:p>
    <w:p w:rsidR="00F56FD2" w:rsidRPr="00387CDE" w:rsidRDefault="00F56FD2" w:rsidP="00F56FD2">
      <w:pPr>
        <w:pStyle w:val="afb"/>
        <w:numPr>
          <w:ilvl w:val="1"/>
          <w:numId w:val="3"/>
        </w:numPr>
        <w:spacing w:after="120"/>
        <w:contextualSpacing w:val="0"/>
        <w:jc w:val="both"/>
        <w:rPr>
          <w:lang w:val="ru-RU"/>
        </w:rPr>
      </w:pPr>
      <w:r w:rsidRPr="00387CDE">
        <w:rPr>
          <w:lang w:val="ru-RU"/>
        </w:rPr>
        <w:t>Во избежание снижения эффекта от процесса консультаций, Предприятие лишь и</w:t>
      </w:r>
      <w:r w:rsidRPr="00387CDE">
        <w:rPr>
          <w:lang w:val="ru-RU"/>
        </w:rPr>
        <w:t>н</w:t>
      </w:r>
      <w:r w:rsidRPr="00387CDE">
        <w:rPr>
          <w:lang w:val="ru-RU"/>
        </w:rPr>
        <w:t xml:space="preserve">формирует о наличии </w:t>
      </w:r>
      <w:r w:rsidRPr="00387CDE">
        <w:t>DDS</w:t>
      </w:r>
      <w:r w:rsidRPr="00387CDE">
        <w:rPr>
          <w:lang w:val="ru-RU"/>
        </w:rPr>
        <w:t xml:space="preserve"> и процедур по консультациям, при проведении ежегодных консультаций с широким списком ЗС. Частные детальные консультации с описанием районов заготовки проводятся точечно, только с ЗС по соответствующим регионам и районам, либо соответствующим рискам.  </w:t>
      </w:r>
    </w:p>
    <w:p w:rsidR="00F56FD2" w:rsidRPr="00387CDE" w:rsidRDefault="00F56FD2" w:rsidP="00F56FD2">
      <w:pPr>
        <w:pStyle w:val="afb"/>
        <w:numPr>
          <w:ilvl w:val="1"/>
          <w:numId w:val="3"/>
        </w:numPr>
        <w:spacing w:after="120"/>
        <w:contextualSpacing w:val="0"/>
        <w:jc w:val="both"/>
        <w:rPr>
          <w:lang w:val="ru-RU"/>
        </w:rPr>
      </w:pPr>
      <w:r w:rsidRPr="00387CDE">
        <w:rPr>
          <w:lang w:val="ru-RU"/>
        </w:rPr>
        <w:lastRenderedPageBreak/>
        <w:t xml:space="preserve">Процедура работы с ответами и обращениями заинтересованных сторон описана в </w:t>
      </w:r>
      <w:r w:rsidRPr="00387CDE">
        <w:rPr>
          <w:b/>
          <w:lang w:val="ru-RU"/>
        </w:rPr>
        <w:t>Приложении 5</w:t>
      </w:r>
      <w:r w:rsidR="0088796C">
        <w:rPr>
          <w:b/>
          <w:lang w:val="ru-RU"/>
        </w:rPr>
        <w:t xml:space="preserve"> </w:t>
      </w:r>
      <w:r w:rsidRPr="00387CDE">
        <w:rPr>
          <w:lang w:val="ru-RU"/>
        </w:rPr>
        <w:t xml:space="preserve"> к настоящей </w:t>
      </w:r>
      <w:r w:rsidRPr="00387CDE">
        <w:t>DDS</w:t>
      </w:r>
      <w:r w:rsidRPr="00387CDE">
        <w:rPr>
          <w:lang w:val="ru-RU"/>
        </w:rPr>
        <w:t xml:space="preserve"> и доступна публично. При получении комментария от ЗС</w:t>
      </w:r>
      <w:r w:rsidR="0088796C">
        <w:rPr>
          <w:lang w:val="ru-RU"/>
        </w:rPr>
        <w:t xml:space="preserve"> </w:t>
      </w:r>
      <w:r w:rsidRPr="00387CDE">
        <w:rPr>
          <w:lang w:val="ru-RU"/>
        </w:rPr>
        <w:t xml:space="preserve"> предприятие </w:t>
      </w:r>
      <w:r w:rsidR="0088796C">
        <w:rPr>
          <w:lang w:val="ru-RU"/>
        </w:rPr>
        <w:t xml:space="preserve"> </w:t>
      </w:r>
      <w:r w:rsidRPr="00387CDE">
        <w:rPr>
          <w:lang w:val="ru-RU"/>
        </w:rPr>
        <w:t xml:space="preserve">всегда </w:t>
      </w:r>
      <w:r w:rsidR="0088796C">
        <w:rPr>
          <w:lang w:val="ru-RU"/>
        </w:rPr>
        <w:t xml:space="preserve"> </w:t>
      </w:r>
      <w:r w:rsidRPr="00387CDE">
        <w:rPr>
          <w:lang w:val="ru-RU"/>
        </w:rPr>
        <w:t>работает согласно</w:t>
      </w:r>
      <w:r w:rsidR="0088796C">
        <w:rPr>
          <w:lang w:val="ru-RU"/>
        </w:rPr>
        <w:t xml:space="preserve"> </w:t>
      </w:r>
      <w:r w:rsidRPr="00387CDE">
        <w:rPr>
          <w:lang w:val="ru-RU"/>
        </w:rPr>
        <w:t xml:space="preserve"> этой процедуры.  </w:t>
      </w:r>
    </w:p>
    <w:p w:rsidR="00466451" w:rsidRDefault="00466451" w:rsidP="00F85DC3">
      <w:pPr>
        <w:pStyle w:val="2"/>
        <w:numPr>
          <w:ilvl w:val="0"/>
          <w:numId w:val="3"/>
        </w:numPr>
        <w:ind w:left="567" w:hanging="567"/>
        <w:rPr>
          <w:lang w:val="ru-RU"/>
        </w:rPr>
      </w:pPr>
      <w:r>
        <w:rPr>
          <w:lang w:val="ru-RU"/>
        </w:rPr>
        <w:lastRenderedPageBreak/>
        <w:t>Внутренн</w:t>
      </w:r>
      <w:r w:rsidR="00354AF8">
        <w:rPr>
          <w:lang w:val="ru-RU"/>
        </w:rPr>
        <w:t xml:space="preserve">яя проверка </w:t>
      </w:r>
      <w:r w:rsidR="00354AF8">
        <w:t>DDS</w:t>
      </w:r>
      <w:bookmarkEnd w:id="10"/>
    </w:p>
    <w:p w:rsidR="00354AF8" w:rsidRDefault="00354AF8" w:rsidP="00F85DC3">
      <w:pPr>
        <w:pStyle w:val="af"/>
        <w:numPr>
          <w:ilvl w:val="1"/>
          <w:numId w:val="3"/>
        </w:numPr>
        <w:spacing w:after="120"/>
        <w:ind w:left="567" w:hanging="567"/>
        <w:jc w:val="both"/>
        <w:rPr>
          <w:lang w:val="ru-RU"/>
        </w:rPr>
      </w:pPr>
      <w:r>
        <w:rPr>
          <w:lang w:val="ru-RU"/>
        </w:rPr>
        <w:t xml:space="preserve">Настоящая </w:t>
      </w:r>
      <w:r>
        <w:t>DDS</w:t>
      </w:r>
      <w:r w:rsidR="00D56439">
        <w:rPr>
          <w:lang w:val="ru-RU"/>
        </w:rPr>
        <w:t xml:space="preserve">  </w:t>
      </w:r>
      <w:r>
        <w:rPr>
          <w:lang w:val="ru-RU"/>
        </w:rPr>
        <w:t>подлежит внутренней проверке не реже раза в год, и по ее результатам она либо утверждается, либо в нее вносятся изменения согласно результатам проведе</w:t>
      </w:r>
      <w:r>
        <w:rPr>
          <w:lang w:val="ru-RU"/>
        </w:rPr>
        <w:t>н</w:t>
      </w:r>
      <w:r>
        <w:rPr>
          <w:lang w:val="ru-RU"/>
        </w:rPr>
        <w:t xml:space="preserve">ной внутренней проверки. Так же </w:t>
      </w:r>
      <w:r>
        <w:t>DDS</w:t>
      </w:r>
      <w:r w:rsidR="00D56439">
        <w:rPr>
          <w:lang w:val="ru-RU"/>
        </w:rPr>
        <w:t xml:space="preserve">  </w:t>
      </w:r>
      <w:r>
        <w:rPr>
          <w:lang w:val="ru-RU"/>
        </w:rPr>
        <w:t xml:space="preserve">может корректироваться по необходимости, при внесении изменений в стандарты </w:t>
      </w:r>
      <w:r>
        <w:t>FSC</w:t>
      </w:r>
      <w:r>
        <w:rPr>
          <w:lang w:val="ru-RU"/>
        </w:rPr>
        <w:t xml:space="preserve"> или при получении относящихся к делу коммент</w:t>
      </w:r>
      <w:r>
        <w:rPr>
          <w:lang w:val="ru-RU"/>
        </w:rPr>
        <w:t>а</w:t>
      </w:r>
      <w:r>
        <w:rPr>
          <w:lang w:val="ru-RU"/>
        </w:rPr>
        <w:t xml:space="preserve">риев от заинтересованных сторон. </w:t>
      </w:r>
      <w:r w:rsidRPr="00587EFB">
        <w:rPr>
          <w:b/>
          <w:color w:val="FF0000"/>
          <w:lang w:val="ru-RU"/>
        </w:rPr>
        <w:t>(</w:t>
      </w:r>
      <w:r>
        <w:rPr>
          <w:b/>
          <w:color w:val="FF0000"/>
          <w:lang w:val="ru-RU"/>
        </w:rPr>
        <w:t>1.6</w:t>
      </w:r>
      <w:r w:rsidRPr="00466451">
        <w:rPr>
          <w:color w:val="FF0000"/>
          <w:lang w:val="ru-RU"/>
        </w:rPr>
        <w:t>,</w:t>
      </w:r>
      <w:r>
        <w:rPr>
          <w:b/>
          <w:color w:val="FF0000"/>
          <w:lang w:val="ru-RU"/>
        </w:rPr>
        <w:t xml:space="preserve"> 1.7</w:t>
      </w:r>
      <w:r w:rsidRPr="00587EFB">
        <w:rPr>
          <w:b/>
          <w:color w:val="FF0000"/>
          <w:lang w:val="ru-RU"/>
        </w:rPr>
        <w:t>)</w:t>
      </w:r>
      <w:r>
        <w:rPr>
          <w:b/>
          <w:color w:val="FF0000"/>
          <w:lang w:val="ru-RU"/>
        </w:rPr>
        <w:t>.</w:t>
      </w:r>
    </w:p>
    <w:p w:rsidR="007E3319" w:rsidRPr="00F85DC3" w:rsidRDefault="00354AF8" w:rsidP="00F85DC3">
      <w:pPr>
        <w:pStyle w:val="af"/>
        <w:numPr>
          <w:ilvl w:val="1"/>
          <w:numId w:val="3"/>
        </w:numPr>
        <w:spacing w:after="120"/>
        <w:ind w:left="567" w:hanging="567"/>
        <w:jc w:val="both"/>
        <w:rPr>
          <w:lang w:val="ru-RU"/>
        </w:rPr>
      </w:pPr>
      <w:r>
        <w:rPr>
          <w:lang w:val="ru-RU"/>
        </w:rPr>
        <w:t>Должен вестись журнал внутренних проверок</w:t>
      </w:r>
      <w:r w:rsidR="00D56439">
        <w:rPr>
          <w:lang w:val="ru-RU"/>
        </w:rPr>
        <w:t xml:space="preserve">  </w:t>
      </w:r>
      <w:r>
        <w:t>DDS</w:t>
      </w:r>
      <w:r w:rsidR="00D56439">
        <w:rPr>
          <w:lang w:val="ru-RU"/>
        </w:rPr>
        <w:t xml:space="preserve">  </w:t>
      </w:r>
      <w:r>
        <w:rPr>
          <w:lang w:val="ru-RU"/>
        </w:rPr>
        <w:t xml:space="preserve"> (даты проведения, кто проводит проверку, </w:t>
      </w:r>
      <w:r w:rsidR="00D614F7">
        <w:rPr>
          <w:lang w:val="ru-RU"/>
        </w:rPr>
        <w:t xml:space="preserve">выявленные </w:t>
      </w:r>
      <w:r>
        <w:rPr>
          <w:lang w:val="ru-RU"/>
        </w:rPr>
        <w:t xml:space="preserve">нарушения </w:t>
      </w:r>
      <w:r>
        <w:t>DDS</w:t>
      </w:r>
      <w:r>
        <w:rPr>
          <w:lang w:val="ru-RU"/>
        </w:rPr>
        <w:t>, рассмотрение нарушений не позднее 12 месяцев с момента выявления)</w:t>
      </w:r>
      <w:r w:rsidR="00CA1A79">
        <w:rPr>
          <w:lang w:val="ru-RU"/>
        </w:rPr>
        <w:t xml:space="preserve">. Использование </w:t>
      </w:r>
      <w:r w:rsidR="00CA1A79">
        <w:t>DDS</w:t>
      </w:r>
      <w:r w:rsidR="00D56439">
        <w:rPr>
          <w:lang w:val="ru-RU"/>
        </w:rPr>
        <w:t xml:space="preserve">  </w:t>
      </w:r>
      <w:r w:rsidR="00CA1A79">
        <w:rPr>
          <w:lang w:val="ru-RU"/>
        </w:rPr>
        <w:t>с просроченными нарушениями не допуск</w:t>
      </w:r>
      <w:r w:rsidR="00CA1A79">
        <w:rPr>
          <w:lang w:val="ru-RU"/>
        </w:rPr>
        <w:t>а</w:t>
      </w:r>
      <w:r w:rsidR="00CA1A79">
        <w:rPr>
          <w:lang w:val="ru-RU"/>
        </w:rPr>
        <w:t>ется.</w:t>
      </w:r>
      <w:r w:rsidRPr="00354AF8">
        <w:rPr>
          <w:b/>
          <w:color w:val="FF0000"/>
          <w:lang w:val="ru-RU"/>
        </w:rPr>
        <w:t>(1.8</w:t>
      </w:r>
      <w:r>
        <w:rPr>
          <w:b/>
          <w:color w:val="FF0000"/>
          <w:lang w:val="ru-RU"/>
        </w:rPr>
        <w:t>, 1.9</w:t>
      </w:r>
      <w:r w:rsidR="00CA1A79">
        <w:rPr>
          <w:b/>
          <w:color w:val="FF0000"/>
          <w:lang w:val="ru-RU"/>
        </w:rPr>
        <w:t>, 1.10</w:t>
      </w:r>
      <w:r w:rsidRPr="00354AF8">
        <w:rPr>
          <w:b/>
          <w:color w:val="FF0000"/>
          <w:lang w:val="ru-RU"/>
        </w:rPr>
        <w:t>)</w:t>
      </w:r>
    </w:p>
    <w:sectPr w:rsidR="007E3319" w:rsidRPr="00F85DC3" w:rsidSect="001A1FBD">
      <w:headerReference w:type="default" r:id="rId13"/>
      <w:footerReference w:type="default" r:id="rId14"/>
      <w:headerReference w:type="first" r:id="rId15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E03" w:rsidRDefault="00556E03" w:rsidP="00345C16">
      <w:pPr>
        <w:spacing w:after="0"/>
      </w:pPr>
      <w:r>
        <w:separator/>
      </w:r>
    </w:p>
  </w:endnote>
  <w:endnote w:type="continuationSeparator" w:id="1">
    <w:p w:rsidR="00556E03" w:rsidRDefault="00556E03" w:rsidP="00345C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Play">
    <w:altName w:val="Arial"/>
    <w:charset w:val="00"/>
    <w:family w:val="swiss"/>
    <w:pitch w:val="variable"/>
    <w:sig w:usb0="00000001" w:usb1="4000205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6F" w:rsidRDefault="00B72D6F">
    <w:pPr>
      <w:pStyle w:val="a6"/>
      <w:jc w:val="right"/>
    </w:pPr>
  </w:p>
  <w:tbl>
    <w:tblPr>
      <w:tblW w:w="9106" w:type="dxa"/>
      <w:tblInd w:w="-34" w:type="dxa"/>
      <w:tblBorders>
        <w:top w:val="single" w:sz="4" w:space="0" w:color="FF00FF" w:themeColor="background1" w:themeShade="80"/>
      </w:tblBorders>
      <w:tblLayout w:type="fixed"/>
      <w:tblLook w:val="0000"/>
    </w:tblPr>
    <w:tblGrid>
      <w:gridCol w:w="1310"/>
      <w:gridCol w:w="6804"/>
      <w:gridCol w:w="992"/>
    </w:tblGrid>
    <w:tr w:rsidR="00B72D6F" w:rsidRPr="002027DF" w:rsidTr="00F85DC3">
      <w:trPr>
        <w:trHeight w:val="287"/>
      </w:trPr>
      <w:tc>
        <w:tcPr>
          <w:tcW w:w="1310" w:type="dxa"/>
          <w:tcBorders>
            <w:top w:val="nil"/>
          </w:tcBorders>
          <w:vAlign w:val="center"/>
        </w:tcPr>
        <w:p w:rsidR="00B72D6F" w:rsidRPr="00F86E0F" w:rsidRDefault="00B72D6F" w:rsidP="00BF70B1">
          <w:pPr>
            <w:spacing w:after="0"/>
            <w:rPr>
              <w:rFonts w:cs="Arial"/>
              <w:noProof/>
              <w:color w:val="FF7EFF" w:themeColor="background1" w:themeShade="BF"/>
              <w:sz w:val="20"/>
            </w:rPr>
          </w:pPr>
          <w:r>
            <w:rPr>
              <w:rFonts w:cs="Arial"/>
              <w:noProof/>
              <w:color w:val="FF7EFF" w:themeColor="background1" w:themeShade="BF"/>
              <w:sz w:val="20"/>
              <w:lang w:val="ru-RU" w:eastAsia="ru-RU"/>
            </w:rPr>
            <w:drawing>
              <wp:inline distT="0" distB="0" distL="0" distR="0">
                <wp:extent cx="663824" cy="422634"/>
                <wp:effectExtent l="0" t="0" r="3175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APEX_Color_ru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826" cy="430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single" w:sz="4" w:space="0" w:color="auto"/>
          </w:tcBorders>
          <w:vAlign w:val="bottom"/>
        </w:tcPr>
        <w:p w:rsidR="00B72D6F" w:rsidRPr="00BF70B1" w:rsidRDefault="00B72D6F" w:rsidP="00BF70B1">
          <w:pPr>
            <w:spacing w:after="0"/>
            <w:rPr>
              <w:rFonts w:cs="Arial"/>
              <w:noProof/>
              <w:sz w:val="16"/>
              <w:szCs w:val="16"/>
              <w:lang w:val="ru-RU"/>
            </w:rPr>
          </w:pPr>
          <w:r w:rsidRPr="00BF70B1">
            <w:rPr>
              <w:rFonts w:cs="Arial"/>
              <w:noProof/>
              <w:sz w:val="16"/>
              <w:szCs w:val="16"/>
              <w:lang w:val="ru-RU"/>
            </w:rPr>
            <w:t>Разработано ООО «Группа «АПЭКС» ©, 2017 г.</w:t>
          </w:r>
        </w:p>
        <w:p w:rsidR="00B72D6F" w:rsidRPr="00BF70B1" w:rsidRDefault="00B72D6F" w:rsidP="00BF70B1">
          <w:pPr>
            <w:spacing w:after="0"/>
            <w:rPr>
              <w:rFonts w:cs="Arial"/>
              <w:noProof/>
              <w:sz w:val="16"/>
              <w:szCs w:val="16"/>
              <w:lang w:val="ru-RU"/>
            </w:rPr>
          </w:pPr>
          <w:r w:rsidRPr="00BF70B1">
            <w:rPr>
              <w:rFonts w:cs="Arial"/>
              <w:noProof/>
              <w:sz w:val="16"/>
              <w:szCs w:val="16"/>
              <w:lang w:val="ru-RU"/>
            </w:rPr>
            <w:t>Россия 163071, г. Архангельск, ул. Садовая 52 к.2, офис 169</w:t>
          </w:r>
        </w:p>
        <w:p w:rsidR="00B72D6F" w:rsidRPr="00B968B8" w:rsidRDefault="00802ED2" w:rsidP="00BF70B1">
          <w:pPr>
            <w:spacing w:after="0"/>
            <w:rPr>
              <w:rFonts w:cs="Arial"/>
              <w:noProof/>
              <w:color w:val="FF7EFF" w:themeColor="background1" w:themeShade="BF"/>
              <w:sz w:val="20"/>
            </w:rPr>
          </w:pPr>
          <w:hyperlink r:id="rId2" w:history="1">
            <w:r w:rsidR="00B72D6F" w:rsidRPr="00BF70B1">
              <w:rPr>
                <w:rStyle w:val="afa"/>
                <w:rFonts w:cs="Arial"/>
                <w:noProof/>
                <w:color w:val="00B050"/>
                <w:sz w:val="16"/>
                <w:szCs w:val="16"/>
              </w:rPr>
              <w:t>www.apex-g.ru</w:t>
            </w:r>
          </w:hyperlink>
        </w:p>
      </w:tc>
      <w:tc>
        <w:tcPr>
          <w:tcW w:w="992" w:type="dxa"/>
          <w:tcBorders>
            <w:top w:val="single" w:sz="4" w:space="0" w:color="auto"/>
          </w:tcBorders>
          <w:vAlign w:val="center"/>
        </w:tcPr>
        <w:p w:rsidR="00B72D6F" w:rsidRPr="001F0C49" w:rsidRDefault="00802ED2" w:rsidP="00BF70B1">
          <w:pPr>
            <w:spacing w:after="0"/>
            <w:jc w:val="right"/>
            <w:rPr>
              <w:rFonts w:cs="Tahoma"/>
              <w:sz w:val="40"/>
              <w:szCs w:val="40"/>
            </w:rPr>
          </w:pPr>
          <w:r w:rsidRPr="00BF70B1">
            <w:rPr>
              <w:rFonts w:cs="Arial"/>
              <w:b/>
              <w:sz w:val="20"/>
            </w:rPr>
            <w:fldChar w:fldCharType="begin"/>
          </w:r>
          <w:r w:rsidR="00B72D6F" w:rsidRPr="00BF70B1">
            <w:rPr>
              <w:rFonts w:cs="Arial"/>
              <w:b/>
              <w:sz w:val="20"/>
            </w:rPr>
            <w:instrText xml:space="preserve"> PAGE </w:instrText>
          </w:r>
          <w:r w:rsidRPr="00BF70B1">
            <w:rPr>
              <w:rFonts w:cs="Arial"/>
              <w:b/>
              <w:sz w:val="20"/>
            </w:rPr>
            <w:fldChar w:fldCharType="separate"/>
          </w:r>
          <w:r w:rsidR="002215F3">
            <w:rPr>
              <w:rFonts w:cs="Arial"/>
              <w:b/>
              <w:noProof/>
              <w:sz w:val="20"/>
            </w:rPr>
            <w:t>17</w:t>
          </w:r>
          <w:r w:rsidRPr="00BF70B1">
            <w:rPr>
              <w:rFonts w:cs="Arial"/>
              <w:b/>
              <w:sz w:val="20"/>
            </w:rPr>
            <w:fldChar w:fldCharType="end"/>
          </w:r>
          <w:r w:rsidR="00B72D6F" w:rsidRPr="001F0C49">
            <w:rPr>
              <w:rFonts w:cs="Arial"/>
              <w:color w:val="FF7EFF" w:themeColor="background1" w:themeShade="BF"/>
              <w:sz w:val="20"/>
            </w:rPr>
            <w:t xml:space="preserve">/ </w:t>
          </w:r>
          <w:fldSimple w:instr=" NUMPAGES  \* Arabic  \* MERGEFORMAT ">
            <w:r w:rsidR="002215F3" w:rsidRPr="002215F3">
              <w:rPr>
                <w:rFonts w:cs="Arial"/>
                <w:noProof/>
                <w:color w:val="FF7EFF" w:themeColor="background1" w:themeShade="BF"/>
                <w:sz w:val="20"/>
              </w:rPr>
              <w:t>17</w:t>
            </w:r>
          </w:fldSimple>
        </w:p>
      </w:tc>
    </w:tr>
  </w:tbl>
  <w:p w:rsidR="00B72D6F" w:rsidRDefault="00B72D6F" w:rsidP="001A1FB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E03" w:rsidRDefault="00556E03" w:rsidP="00345C16">
      <w:pPr>
        <w:spacing w:after="0"/>
      </w:pPr>
      <w:r>
        <w:separator/>
      </w:r>
    </w:p>
  </w:footnote>
  <w:footnote w:type="continuationSeparator" w:id="1">
    <w:p w:rsidR="00556E03" w:rsidRDefault="00556E03" w:rsidP="00345C1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Borders>
        <w:bottom w:val="single" w:sz="4" w:space="0" w:color="FF00FF" w:themeColor="background1" w:themeShade="80"/>
      </w:tblBorders>
      <w:tblLayout w:type="fixed"/>
      <w:tblCellMar>
        <w:top w:w="28" w:type="dxa"/>
        <w:left w:w="70" w:type="dxa"/>
        <w:bottom w:w="28" w:type="dxa"/>
        <w:right w:w="70" w:type="dxa"/>
      </w:tblCellMar>
      <w:tblLook w:val="0000"/>
    </w:tblPr>
    <w:tblGrid>
      <w:gridCol w:w="2410"/>
      <w:gridCol w:w="4111"/>
      <w:gridCol w:w="2410"/>
    </w:tblGrid>
    <w:tr w:rsidR="00B72D6F" w:rsidTr="00F85DC3">
      <w:trPr>
        <w:cantSplit/>
        <w:trHeight w:val="682"/>
      </w:trPr>
      <w:tc>
        <w:tcPr>
          <w:tcW w:w="2410" w:type="dxa"/>
          <w:vAlign w:val="center"/>
        </w:tcPr>
        <w:p w:rsidR="00B72D6F" w:rsidRPr="00F85DC3" w:rsidRDefault="00F85DC3" w:rsidP="005E26B9">
          <w:pPr>
            <w:pStyle w:val="a6"/>
            <w:rPr>
              <w:b/>
              <w:sz w:val="16"/>
              <w:szCs w:val="16"/>
            </w:rPr>
          </w:pPr>
          <w:r w:rsidRPr="00F85DC3">
            <w:rPr>
              <w:b/>
              <w:sz w:val="16"/>
              <w:szCs w:val="16"/>
            </w:rPr>
            <w:t>DDS-CFMK-CW</w:t>
          </w:r>
        </w:p>
        <w:p w:rsidR="00F85DC3" w:rsidRPr="00F85DC3" w:rsidRDefault="00F56FD2" w:rsidP="005E26B9">
          <w:pPr>
            <w:pStyle w:val="a6"/>
            <w:rPr>
              <w:rFonts w:cs="Arial"/>
              <w:sz w:val="16"/>
              <w:szCs w:val="16"/>
              <w:lang w:val="ru-RU"/>
            </w:rPr>
          </w:pPr>
          <w:r>
            <w:rPr>
              <w:sz w:val="16"/>
              <w:szCs w:val="16"/>
              <w:lang w:val="ru-RU"/>
            </w:rPr>
            <w:t>Версия 1.1</w:t>
          </w:r>
        </w:p>
      </w:tc>
      <w:tc>
        <w:tcPr>
          <w:tcW w:w="4111" w:type="dxa"/>
          <w:vAlign w:val="center"/>
        </w:tcPr>
        <w:p w:rsidR="00B72D6F" w:rsidRPr="00911C5A" w:rsidRDefault="00F85DC3" w:rsidP="00F85DC3">
          <w:pPr>
            <w:pStyle w:val="QMS"/>
            <w:numPr>
              <w:ilvl w:val="0"/>
              <w:numId w:val="0"/>
            </w:numPr>
            <w:suppressAutoHyphens/>
            <w:ind w:right="-68"/>
            <w:jc w:val="left"/>
            <w:rPr>
              <w:rFonts w:asciiTheme="minorHAnsi" w:hAnsiTheme="minorHAnsi" w:cs="Arial"/>
              <w:b w:val="0"/>
              <w:sz w:val="16"/>
              <w:szCs w:val="16"/>
            </w:rPr>
          </w:pPr>
          <w:r w:rsidRPr="00F85DC3">
            <w:rPr>
              <w:rFonts w:asciiTheme="minorHAnsi" w:hAnsiTheme="minorHAnsi" w:cs="Arial"/>
              <w:b w:val="0"/>
              <w:sz w:val="16"/>
              <w:szCs w:val="16"/>
            </w:rPr>
            <w:t>Система должной добросовестности для соблюдения требований к закупкам FSC-контролируемой древесины</w:t>
          </w:r>
        </w:p>
      </w:tc>
      <w:tc>
        <w:tcPr>
          <w:tcW w:w="2410" w:type="dxa"/>
          <w:vAlign w:val="center"/>
        </w:tcPr>
        <w:p w:rsidR="00B72D6F" w:rsidRPr="00830A80" w:rsidRDefault="00B72D6F" w:rsidP="005E26B9">
          <w:pPr>
            <w:tabs>
              <w:tab w:val="left" w:pos="1134"/>
            </w:tabs>
            <w:spacing w:after="0"/>
            <w:jc w:val="right"/>
            <w:rPr>
              <w:rFonts w:ascii="Arial Rounded MT Bold" w:hAnsi="Arial Rounded MT Bold"/>
              <w:sz w:val="16"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325997" cy="301901"/>
                <wp:effectExtent l="0" t="0" r="7620" b="3175"/>
                <wp:docPr id="2" name="Рисунок 2" descr="http://www.cfmk.ru/images/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fmk.ru/images/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658" cy="320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2D6F" w:rsidRDefault="00B72D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892" w:type="dxa"/>
      <w:tblBorders>
        <w:bottom w:val="single" w:sz="4" w:space="0" w:color="FF00FF" w:themeColor="background1" w:themeShade="80"/>
      </w:tblBorders>
      <w:tblLayout w:type="fixed"/>
      <w:tblCellMar>
        <w:top w:w="28" w:type="dxa"/>
        <w:left w:w="70" w:type="dxa"/>
        <w:bottom w:w="28" w:type="dxa"/>
        <w:right w:w="70" w:type="dxa"/>
      </w:tblCellMar>
      <w:tblLook w:val="0000"/>
    </w:tblPr>
    <w:tblGrid>
      <w:gridCol w:w="2552"/>
      <w:gridCol w:w="8930"/>
      <w:gridCol w:w="2410"/>
    </w:tblGrid>
    <w:tr w:rsidR="00B72D6F" w:rsidTr="00156F1D">
      <w:trPr>
        <w:cantSplit/>
        <w:trHeight w:val="682"/>
      </w:trPr>
      <w:tc>
        <w:tcPr>
          <w:tcW w:w="2552" w:type="dxa"/>
          <w:vAlign w:val="center"/>
        </w:tcPr>
        <w:p w:rsidR="00B72D6F" w:rsidRPr="00D614F7" w:rsidRDefault="00B72D6F" w:rsidP="00990585">
          <w:pPr>
            <w:pStyle w:val="a6"/>
            <w:rPr>
              <w:rFonts w:cs="Arial"/>
              <w:sz w:val="16"/>
              <w:szCs w:val="16"/>
              <w:lang w:val="ru-RU"/>
            </w:rPr>
          </w:pPr>
          <w:r w:rsidRPr="00C22541">
            <w:rPr>
              <w:rFonts w:cs="Arial"/>
              <w:sz w:val="16"/>
              <w:szCs w:val="16"/>
              <w:lang w:val="ru-RU"/>
            </w:rPr>
            <w:t xml:space="preserve">№: </w:t>
          </w:r>
          <w:r>
            <w:rPr>
              <w:rFonts w:cs="Arial"/>
              <w:b/>
              <w:sz w:val="16"/>
              <w:szCs w:val="16"/>
            </w:rPr>
            <w:t>CFMK</w:t>
          </w:r>
          <w:r w:rsidRPr="00C22541">
            <w:rPr>
              <w:rFonts w:cs="Arial"/>
              <w:b/>
              <w:sz w:val="16"/>
              <w:szCs w:val="16"/>
              <w:lang w:val="ru-RU"/>
            </w:rPr>
            <w:t>-</w:t>
          </w:r>
          <w:r>
            <w:rPr>
              <w:rFonts w:cs="Arial"/>
              <w:b/>
              <w:sz w:val="16"/>
              <w:szCs w:val="16"/>
            </w:rPr>
            <w:t>DDS</w:t>
          </w:r>
          <w:r w:rsidRPr="00C22541">
            <w:rPr>
              <w:rFonts w:cs="Arial"/>
              <w:b/>
              <w:sz w:val="16"/>
              <w:szCs w:val="16"/>
              <w:lang w:val="ru-RU"/>
            </w:rPr>
            <w:t>-</w:t>
          </w:r>
          <w:r>
            <w:rPr>
              <w:rFonts w:cs="Arial"/>
              <w:b/>
              <w:sz w:val="16"/>
              <w:szCs w:val="16"/>
            </w:rPr>
            <w:t>CW</w:t>
          </w:r>
          <w:r>
            <w:rPr>
              <w:rFonts w:cs="Arial"/>
              <w:b/>
              <w:sz w:val="16"/>
              <w:szCs w:val="16"/>
              <w:lang w:val="ru-RU"/>
            </w:rPr>
            <w:t>-1.</w:t>
          </w:r>
          <w:r w:rsidRPr="00D614F7">
            <w:rPr>
              <w:rFonts w:cs="Arial"/>
              <w:b/>
              <w:sz w:val="16"/>
              <w:szCs w:val="16"/>
              <w:lang w:val="ru-RU"/>
            </w:rPr>
            <w:t>0</w:t>
          </w:r>
        </w:p>
        <w:p w:rsidR="00B72D6F" w:rsidRPr="00C22541" w:rsidRDefault="00B72D6F" w:rsidP="00990585">
          <w:pPr>
            <w:pStyle w:val="a6"/>
            <w:rPr>
              <w:rFonts w:cs="Arial"/>
              <w:sz w:val="16"/>
              <w:szCs w:val="16"/>
              <w:lang w:val="ru-RU"/>
            </w:rPr>
          </w:pPr>
          <w:r w:rsidRPr="00C22541">
            <w:rPr>
              <w:rFonts w:cs="Arial"/>
              <w:sz w:val="16"/>
              <w:szCs w:val="16"/>
              <w:lang w:val="ru-RU"/>
            </w:rPr>
            <w:t>Дата утверждения: 1</w:t>
          </w:r>
          <w:r w:rsidRPr="00D614F7">
            <w:rPr>
              <w:rFonts w:cs="Arial"/>
              <w:sz w:val="16"/>
              <w:szCs w:val="16"/>
              <w:lang w:val="ru-RU"/>
            </w:rPr>
            <w:t>5</w:t>
          </w:r>
          <w:r w:rsidRPr="00C22541">
            <w:rPr>
              <w:rFonts w:cs="Arial"/>
              <w:sz w:val="16"/>
              <w:szCs w:val="16"/>
              <w:lang w:val="ru-RU"/>
            </w:rPr>
            <w:t>.0</w:t>
          </w:r>
          <w:r w:rsidRPr="00183A1D">
            <w:rPr>
              <w:rFonts w:cs="Arial"/>
              <w:sz w:val="16"/>
              <w:szCs w:val="16"/>
              <w:lang w:val="ru-RU"/>
            </w:rPr>
            <w:t>7</w:t>
          </w:r>
          <w:r w:rsidRPr="00C22541">
            <w:rPr>
              <w:rFonts w:cs="Arial"/>
              <w:sz w:val="16"/>
              <w:szCs w:val="16"/>
              <w:lang w:val="ru-RU"/>
            </w:rPr>
            <w:t>.2017</w:t>
          </w:r>
        </w:p>
      </w:tc>
      <w:tc>
        <w:tcPr>
          <w:tcW w:w="8930" w:type="dxa"/>
          <w:vAlign w:val="center"/>
        </w:tcPr>
        <w:p w:rsidR="00B72D6F" w:rsidRPr="00156F1D" w:rsidRDefault="00B72D6F" w:rsidP="00156F1D">
          <w:pPr>
            <w:pStyle w:val="QMS"/>
            <w:numPr>
              <w:ilvl w:val="0"/>
              <w:numId w:val="0"/>
            </w:numPr>
            <w:ind w:right="-68"/>
            <w:jc w:val="left"/>
            <w:rPr>
              <w:rFonts w:asciiTheme="minorHAnsi" w:hAnsiTheme="minorHAnsi" w:cs="Arial"/>
              <w:b w:val="0"/>
              <w:sz w:val="16"/>
              <w:szCs w:val="16"/>
            </w:rPr>
          </w:pPr>
          <w:r>
            <w:rPr>
              <w:rFonts w:asciiTheme="minorHAnsi" w:hAnsiTheme="minorHAnsi" w:cs="Arial"/>
              <w:b w:val="0"/>
              <w:sz w:val="16"/>
              <w:szCs w:val="16"/>
            </w:rPr>
            <w:t>ПРИЛОЖЕНИЕ 1: Оценка риска и контрольные меры</w:t>
          </w:r>
        </w:p>
        <w:p w:rsidR="00B72D6F" w:rsidRPr="00911C5A" w:rsidRDefault="00B72D6F" w:rsidP="00156F1D">
          <w:pPr>
            <w:pStyle w:val="QMS"/>
            <w:numPr>
              <w:ilvl w:val="0"/>
              <w:numId w:val="0"/>
            </w:numPr>
            <w:ind w:right="-68"/>
            <w:jc w:val="left"/>
            <w:rPr>
              <w:rFonts w:asciiTheme="minorHAnsi" w:hAnsiTheme="minorHAnsi" w:cs="Arial"/>
              <w:b w:val="0"/>
              <w:sz w:val="16"/>
              <w:szCs w:val="16"/>
            </w:rPr>
          </w:pPr>
          <w:r w:rsidRPr="00BF70B1">
            <w:rPr>
              <w:rFonts w:asciiTheme="minorHAnsi" w:hAnsiTheme="minorHAnsi" w:cs="Arial"/>
              <w:b w:val="0"/>
              <w:sz w:val="16"/>
              <w:szCs w:val="16"/>
            </w:rPr>
            <w:t xml:space="preserve">Система должной добросовестности (DDS) </w:t>
          </w:r>
          <w:r>
            <w:rPr>
              <w:rFonts w:asciiTheme="minorHAnsi" w:hAnsiTheme="minorHAnsi" w:cs="Arial"/>
              <w:b w:val="0"/>
              <w:sz w:val="16"/>
              <w:szCs w:val="16"/>
            </w:rPr>
            <w:t>д</w:t>
          </w:r>
          <w:r w:rsidRPr="00BF70B1">
            <w:rPr>
              <w:rFonts w:asciiTheme="minorHAnsi" w:hAnsiTheme="minorHAnsi" w:cs="Arial"/>
              <w:b w:val="0"/>
              <w:sz w:val="16"/>
              <w:szCs w:val="16"/>
            </w:rPr>
            <w:t>ля соблюдения требований к закупкам FSC-контролируемой древесины</w:t>
          </w:r>
        </w:p>
      </w:tc>
      <w:tc>
        <w:tcPr>
          <w:tcW w:w="2410" w:type="dxa"/>
          <w:vAlign w:val="center"/>
        </w:tcPr>
        <w:p w:rsidR="00B72D6F" w:rsidRPr="00830A80" w:rsidRDefault="00B72D6F" w:rsidP="00D614F7">
          <w:pPr>
            <w:tabs>
              <w:tab w:val="left" w:pos="1134"/>
            </w:tabs>
            <w:spacing w:after="0"/>
            <w:jc w:val="right"/>
            <w:rPr>
              <w:rFonts w:ascii="Arial Rounded MT Bold" w:hAnsi="Arial Rounded MT Bold"/>
              <w:sz w:val="16"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325997" cy="301901"/>
                <wp:effectExtent l="0" t="0" r="7620" b="3175"/>
                <wp:docPr id="8" name="Рисунок 8" descr="http://www.cfmk.ru/images/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fmk.ru/images/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658" cy="320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2D6F" w:rsidRDefault="00B72D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A6A6B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418AC"/>
    <w:multiLevelType w:val="hybridMultilevel"/>
    <w:tmpl w:val="8EB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26EBD"/>
    <w:multiLevelType w:val="multilevel"/>
    <w:tmpl w:val="17080516"/>
    <w:lvl w:ilvl="0">
      <w:start w:val="1"/>
      <w:numFmt w:val="decimal"/>
      <w:lvlText w:val="(%1."/>
      <w:lvlJc w:val="left"/>
      <w:pPr>
        <w:ind w:left="465" w:hanging="465"/>
      </w:pPr>
      <w:rPr>
        <w:rFonts w:hint="default"/>
        <w:b/>
        <w:color w:val="FF0000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/>
        <w:color w:val="FF0000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/>
        <w:color w:val="FF0000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3">
    <w:nsid w:val="17EE442F"/>
    <w:multiLevelType w:val="hybridMultilevel"/>
    <w:tmpl w:val="EAC63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02037"/>
    <w:multiLevelType w:val="multilevel"/>
    <w:tmpl w:val="1F3ED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AE3BFD"/>
    <w:multiLevelType w:val="hybridMultilevel"/>
    <w:tmpl w:val="0E3680CC"/>
    <w:lvl w:ilvl="0" w:tplc="4CB06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34E67"/>
    <w:multiLevelType w:val="hybridMultilevel"/>
    <w:tmpl w:val="0554B604"/>
    <w:lvl w:ilvl="0" w:tplc="A4B89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002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813F46"/>
    <w:multiLevelType w:val="hybridMultilevel"/>
    <w:tmpl w:val="00786C38"/>
    <w:lvl w:ilvl="0" w:tplc="AEF0D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26404"/>
    <w:multiLevelType w:val="hybridMultilevel"/>
    <w:tmpl w:val="A4EE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B4DAE"/>
    <w:multiLevelType w:val="hybridMultilevel"/>
    <w:tmpl w:val="C98A3E60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1">
    <w:nsid w:val="2A1827CA"/>
    <w:multiLevelType w:val="hybridMultilevel"/>
    <w:tmpl w:val="E11EFCC8"/>
    <w:lvl w:ilvl="0" w:tplc="4CB06D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359DD"/>
    <w:multiLevelType w:val="hybridMultilevel"/>
    <w:tmpl w:val="81DEB2BE"/>
    <w:lvl w:ilvl="0" w:tplc="C658C246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7595F"/>
    <w:multiLevelType w:val="hybridMultilevel"/>
    <w:tmpl w:val="8EB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16E6F"/>
    <w:multiLevelType w:val="multilevel"/>
    <w:tmpl w:val="E7F09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F2D73F1"/>
    <w:multiLevelType w:val="multilevel"/>
    <w:tmpl w:val="78E68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u w:color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4B6645"/>
    <w:multiLevelType w:val="hybridMultilevel"/>
    <w:tmpl w:val="455C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E5AD9"/>
    <w:multiLevelType w:val="hybridMultilevel"/>
    <w:tmpl w:val="3A2AC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10C0C"/>
    <w:multiLevelType w:val="hybridMultilevel"/>
    <w:tmpl w:val="8EB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C79A3"/>
    <w:multiLevelType w:val="hybridMultilevel"/>
    <w:tmpl w:val="DAA2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97FEB"/>
    <w:multiLevelType w:val="hybridMultilevel"/>
    <w:tmpl w:val="82904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35D04"/>
    <w:multiLevelType w:val="hybridMultilevel"/>
    <w:tmpl w:val="7A62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E6E21"/>
    <w:multiLevelType w:val="hybridMultilevel"/>
    <w:tmpl w:val="05E0D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67522"/>
    <w:multiLevelType w:val="hybridMultilevel"/>
    <w:tmpl w:val="DA1AA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53361"/>
    <w:multiLevelType w:val="hybridMultilevel"/>
    <w:tmpl w:val="8EB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04B12"/>
    <w:multiLevelType w:val="multilevel"/>
    <w:tmpl w:val="2174D568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004" w:hanging="720"/>
      </w:pPr>
      <w:rPr>
        <w:rFonts w:hint="default"/>
        <w:color w:val="FF0000"/>
        <w:lang w:val="en-US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FD872E3"/>
    <w:multiLevelType w:val="hybridMultilevel"/>
    <w:tmpl w:val="99FE1CAA"/>
    <w:lvl w:ilvl="0" w:tplc="2DA0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12964"/>
    <w:multiLevelType w:val="hybridMultilevel"/>
    <w:tmpl w:val="11A67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962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AFB3CE1"/>
    <w:multiLevelType w:val="hybridMultilevel"/>
    <w:tmpl w:val="9202047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8"/>
  </w:num>
  <w:num w:numId="4">
    <w:abstractNumId w:val="12"/>
  </w:num>
  <w:num w:numId="5">
    <w:abstractNumId w:val="12"/>
  </w:num>
  <w:num w:numId="6">
    <w:abstractNumId w:val="19"/>
  </w:num>
  <w:num w:numId="7">
    <w:abstractNumId w:val="7"/>
  </w:num>
  <w:num w:numId="8">
    <w:abstractNumId w:val="24"/>
  </w:num>
  <w:num w:numId="9">
    <w:abstractNumId w:val="13"/>
  </w:num>
  <w:num w:numId="10">
    <w:abstractNumId w:val="1"/>
  </w:num>
  <w:num w:numId="11">
    <w:abstractNumId w:val="18"/>
  </w:num>
  <w:num w:numId="12">
    <w:abstractNumId w:val="10"/>
  </w:num>
  <w:num w:numId="13">
    <w:abstractNumId w:val="26"/>
  </w:num>
  <w:num w:numId="14">
    <w:abstractNumId w:val="8"/>
  </w:num>
  <w:num w:numId="15">
    <w:abstractNumId w:val="16"/>
  </w:num>
  <w:num w:numId="16">
    <w:abstractNumId w:val="29"/>
  </w:num>
  <w:num w:numId="17">
    <w:abstractNumId w:val="25"/>
  </w:num>
  <w:num w:numId="18">
    <w:abstractNumId w:val="9"/>
  </w:num>
  <w:num w:numId="19">
    <w:abstractNumId w:val="20"/>
  </w:num>
  <w:num w:numId="20">
    <w:abstractNumId w:val="14"/>
  </w:num>
  <w:num w:numId="21">
    <w:abstractNumId w:val="17"/>
  </w:num>
  <w:num w:numId="22">
    <w:abstractNumId w:val="3"/>
  </w:num>
  <w:num w:numId="23">
    <w:abstractNumId w:val="23"/>
  </w:num>
  <w:num w:numId="24">
    <w:abstractNumId w:val="22"/>
  </w:num>
  <w:num w:numId="25">
    <w:abstractNumId w:val="4"/>
  </w:num>
  <w:num w:numId="26">
    <w:abstractNumId w:val="6"/>
  </w:num>
  <w:num w:numId="27">
    <w:abstractNumId w:val="5"/>
  </w:num>
  <w:num w:numId="28">
    <w:abstractNumId w:val="2"/>
  </w:num>
  <w:num w:numId="29">
    <w:abstractNumId w:val="27"/>
  </w:num>
  <w:num w:numId="30">
    <w:abstractNumId w:val="21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5C16"/>
    <w:rsid w:val="00006EEB"/>
    <w:rsid w:val="00026463"/>
    <w:rsid w:val="000346DE"/>
    <w:rsid w:val="00053F6B"/>
    <w:rsid w:val="00056CBD"/>
    <w:rsid w:val="00060EE4"/>
    <w:rsid w:val="0006129B"/>
    <w:rsid w:val="0006252E"/>
    <w:rsid w:val="000641FB"/>
    <w:rsid w:val="00066309"/>
    <w:rsid w:val="000670DF"/>
    <w:rsid w:val="00071B74"/>
    <w:rsid w:val="00077D41"/>
    <w:rsid w:val="00081E6D"/>
    <w:rsid w:val="000C09BF"/>
    <w:rsid w:val="000D52C4"/>
    <w:rsid w:val="000E249F"/>
    <w:rsid w:val="000F412A"/>
    <w:rsid w:val="00104A18"/>
    <w:rsid w:val="00117619"/>
    <w:rsid w:val="00125A9B"/>
    <w:rsid w:val="00130503"/>
    <w:rsid w:val="00132F88"/>
    <w:rsid w:val="00137076"/>
    <w:rsid w:val="001548F4"/>
    <w:rsid w:val="00156F1D"/>
    <w:rsid w:val="0015775E"/>
    <w:rsid w:val="00160FC0"/>
    <w:rsid w:val="00174BB4"/>
    <w:rsid w:val="00183A1D"/>
    <w:rsid w:val="00190802"/>
    <w:rsid w:val="001A1FBD"/>
    <w:rsid w:val="001A2BCC"/>
    <w:rsid w:val="001B32E5"/>
    <w:rsid w:val="001B7944"/>
    <w:rsid w:val="001D2514"/>
    <w:rsid w:val="001D5058"/>
    <w:rsid w:val="001D5811"/>
    <w:rsid w:val="001E36D5"/>
    <w:rsid w:val="001E4F0C"/>
    <w:rsid w:val="002215F3"/>
    <w:rsid w:val="00221DD0"/>
    <w:rsid w:val="002509A0"/>
    <w:rsid w:val="0025101B"/>
    <w:rsid w:val="00251C58"/>
    <w:rsid w:val="00254614"/>
    <w:rsid w:val="00270AB5"/>
    <w:rsid w:val="0027234A"/>
    <w:rsid w:val="00273281"/>
    <w:rsid w:val="00276C8D"/>
    <w:rsid w:val="002A0A2A"/>
    <w:rsid w:val="002C4B69"/>
    <w:rsid w:val="002E05E1"/>
    <w:rsid w:val="002E11EC"/>
    <w:rsid w:val="002E2CC0"/>
    <w:rsid w:val="002F0318"/>
    <w:rsid w:val="002F0734"/>
    <w:rsid w:val="00345C16"/>
    <w:rsid w:val="0035020B"/>
    <w:rsid w:val="00354AF8"/>
    <w:rsid w:val="00360C8F"/>
    <w:rsid w:val="00362ACB"/>
    <w:rsid w:val="0039739D"/>
    <w:rsid w:val="003A04CA"/>
    <w:rsid w:val="003A1DE6"/>
    <w:rsid w:val="003A569A"/>
    <w:rsid w:val="003B171E"/>
    <w:rsid w:val="003F7CE8"/>
    <w:rsid w:val="00406ECE"/>
    <w:rsid w:val="004143E3"/>
    <w:rsid w:val="00417421"/>
    <w:rsid w:val="004237C6"/>
    <w:rsid w:val="00466451"/>
    <w:rsid w:val="00480793"/>
    <w:rsid w:val="00482B88"/>
    <w:rsid w:val="00483023"/>
    <w:rsid w:val="004962FB"/>
    <w:rsid w:val="00497083"/>
    <w:rsid w:val="004A51C3"/>
    <w:rsid w:val="004A6C40"/>
    <w:rsid w:val="004F608D"/>
    <w:rsid w:val="00504AB7"/>
    <w:rsid w:val="00505473"/>
    <w:rsid w:val="005112FE"/>
    <w:rsid w:val="00525940"/>
    <w:rsid w:val="0055604B"/>
    <w:rsid w:val="00556AF2"/>
    <w:rsid w:val="00556E03"/>
    <w:rsid w:val="0056634A"/>
    <w:rsid w:val="00570EE9"/>
    <w:rsid w:val="00576751"/>
    <w:rsid w:val="00587EFB"/>
    <w:rsid w:val="005B3FC4"/>
    <w:rsid w:val="005E26B9"/>
    <w:rsid w:val="005E5149"/>
    <w:rsid w:val="005F7904"/>
    <w:rsid w:val="00605EA2"/>
    <w:rsid w:val="00620C36"/>
    <w:rsid w:val="00624511"/>
    <w:rsid w:val="00634359"/>
    <w:rsid w:val="00641B27"/>
    <w:rsid w:val="0065072E"/>
    <w:rsid w:val="00671961"/>
    <w:rsid w:val="0068495A"/>
    <w:rsid w:val="006D0E39"/>
    <w:rsid w:val="006E1B87"/>
    <w:rsid w:val="00704B8E"/>
    <w:rsid w:val="007141AC"/>
    <w:rsid w:val="007240B3"/>
    <w:rsid w:val="0072657C"/>
    <w:rsid w:val="00727E95"/>
    <w:rsid w:val="00743F06"/>
    <w:rsid w:val="0077416B"/>
    <w:rsid w:val="007806AB"/>
    <w:rsid w:val="00782255"/>
    <w:rsid w:val="007D28E9"/>
    <w:rsid w:val="007E3319"/>
    <w:rsid w:val="007E59A4"/>
    <w:rsid w:val="007E6128"/>
    <w:rsid w:val="007F39D9"/>
    <w:rsid w:val="00802ED2"/>
    <w:rsid w:val="00806F2E"/>
    <w:rsid w:val="00811499"/>
    <w:rsid w:val="0081562D"/>
    <w:rsid w:val="0082165D"/>
    <w:rsid w:val="00824EF5"/>
    <w:rsid w:val="00835127"/>
    <w:rsid w:val="008379F0"/>
    <w:rsid w:val="00845690"/>
    <w:rsid w:val="00857B49"/>
    <w:rsid w:val="008737AF"/>
    <w:rsid w:val="0088796C"/>
    <w:rsid w:val="00891AF4"/>
    <w:rsid w:val="008934F3"/>
    <w:rsid w:val="008949D4"/>
    <w:rsid w:val="008A4EE3"/>
    <w:rsid w:val="008B33E8"/>
    <w:rsid w:val="008B4376"/>
    <w:rsid w:val="008C2C45"/>
    <w:rsid w:val="008C42AF"/>
    <w:rsid w:val="008D3B1E"/>
    <w:rsid w:val="008D5CE7"/>
    <w:rsid w:val="008F1B01"/>
    <w:rsid w:val="008F7D30"/>
    <w:rsid w:val="00912257"/>
    <w:rsid w:val="009176B5"/>
    <w:rsid w:val="00921834"/>
    <w:rsid w:val="00950BA8"/>
    <w:rsid w:val="00953E5B"/>
    <w:rsid w:val="00961ADB"/>
    <w:rsid w:val="009763E3"/>
    <w:rsid w:val="0098406C"/>
    <w:rsid w:val="0098703F"/>
    <w:rsid w:val="00990585"/>
    <w:rsid w:val="009E58E1"/>
    <w:rsid w:val="00A10DF3"/>
    <w:rsid w:val="00A12457"/>
    <w:rsid w:val="00A23D91"/>
    <w:rsid w:val="00A30393"/>
    <w:rsid w:val="00A33301"/>
    <w:rsid w:val="00A45F0A"/>
    <w:rsid w:val="00A50DD7"/>
    <w:rsid w:val="00A51864"/>
    <w:rsid w:val="00A57F9F"/>
    <w:rsid w:val="00A75A8E"/>
    <w:rsid w:val="00A87153"/>
    <w:rsid w:val="00A9788E"/>
    <w:rsid w:val="00AA41DB"/>
    <w:rsid w:val="00AB18EC"/>
    <w:rsid w:val="00AB68ED"/>
    <w:rsid w:val="00AC6380"/>
    <w:rsid w:val="00AD1174"/>
    <w:rsid w:val="00AD5C60"/>
    <w:rsid w:val="00AE32FE"/>
    <w:rsid w:val="00AE4EE0"/>
    <w:rsid w:val="00AE529F"/>
    <w:rsid w:val="00AF4C2C"/>
    <w:rsid w:val="00B13A00"/>
    <w:rsid w:val="00B219CB"/>
    <w:rsid w:val="00B21F31"/>
    <w:rsid w:val="00B26561"/>
    <w:rsid w:val="00B33EDF"/>
    <w:rsid w:val="00B346D4"/>
    <w:rsid w:val="00B37584"/>
    <w:rsid w:val="00B378CE"/>
    <w:rsid w:val="00B40574"/>
    <w:rsid w:val="00B610ED"/>
    <w:rsid w:val="00B7155D"/>
    <w:rsid w:val="00B71C95"/>
    <w:rsid w:val="00B7201A"/>
    <w:rsid w:val="00B72D6F"/>
    <w:rsid w:val="00B87564"/>
    <w:rsid w:val="00BB0094"/>
    <w:rsid w:val="00BB6A5B"/>
    <w:rsid w:val="00BC34B9"/>
    <w:rsid w:val="00BC429B"/>
    <w:rsid w:val="00BD3ADD"/>
    <w:rsid w:val="00BD49C5"/>
    <w:rsid w:val="00BD59ED"/>
    <w:rsid w:val="00BF70B1"/>
    <w:rsid w:val="00BF7847"/>
    <w:rsid w:val="00C1322C"/>
    <w:rsid w:val="00C21A80"/>
    <w:rsid w:val="00C22541"/>
    <w:rsid w:val="00C24199"/>
    <w:rsid w:val="00C24BE9"/>
    <w:rsid w:val="00C34271"/>
    <w:rsid w:val="00C3511B"/>
    <w:rsid w:val="00C55063"/>
    <w:rsid w:val="00C73CDD"/>
    <w:rsid w:val="00C75E94"/>
    <w:rsid w:val="00C84277"/>
    <w:rsid w:val="00CA1A79"/>
    <w:rsid w:val="00CA2483"/>
    <w:rsid w:val="00CD0DA3"/>
    <w:rsid w:val="00CE3BB6"/>
    <w:rsid w:val="00D04863"/>
    <w:rsid w:val="00D121EE"/>
    <w:rsid w:val="00D30C8B"/>
    <w:rsid w:val="00D343D8"/>
    <w:rsid w:val="00D36810"/>
    <w:rsid w:val="00D56439"/>
    <w:rsid w:val="00D576A1"/>
    <w:rsid w:val="00D614F7"/>
    <w:rsid w:val="00DB4EEB"/>
    <w:rsid w:val="00DC51FD"/>
    <w:rsid w:val="00DD2F81"/>
    <w:rsid w:val="00DD36F3"/>
    <w:rsid w:val="00DE6C21"/>
    <w:rsid w:val="00E03CDC"/>
    <w:rsid w:val="00E04D86"/>
    <w:rsid w:val="00E3000C"/>
    <w:rsid w:val="00E31978"/>
    <w:rsid w:val="00E352B4"/>
    <w:rsid w:val="00E636FC"/>
    <w:rsid w:val="00E65A60"/>
    <w:rsid w:val="00E77954"/>
    <w:rsid w:val="00E85817"/>
    <w:rsid w:val="00E863AB"/>
    <w:rsid w:val="00E978BF"/>
    <w:rsid w:val="00EA5879"/>
    <w:rsid w:val="00EB2423"/>
    <w:rsid w:val="00EB2B58"/>
    <w:rsid w:val="00EB73BA"/>
    <w:rsid w:val="00EC068E"/>
    <w:rsid w:val="00EC0D95"/>
    <w:rsid w:val="00EC6E07"/>
    <w:rsid w:val="00ED3564"/>
    <w:rsid w:val="00EE0539"/>
    <w:rsid w:val="00EF5115"/>
    <w:rsid w:val="00EF65CF"/>
    <w:rsid w:val="00F03774"/>
    <w:rsid w:val="00F03FFA"/>
    <w:rsid w:val="00F11490"/>
    <w:rsid w:val="00F47839"/>
    <w:rsid w:val="00F56FD2"/>
    <w:rsid w:val="00F662CF"/>
    <w:rsid w:val="00F664B6"/>
    <w:rsid w:val="00F85AA9"/>
    <w:rsid w:val="00F85DC3"/>
    <w:rsid w:val="00F90217"/>
    <w:rsid w:val="00FA6BEC"/>
    <w:rsid w:val="00FB6BD6"/>
    <w:rsid w:val="00FC5F20"/>
    <w:rsid w:val="00FD37A1"/>
    <w:rsid w:val="00FF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0D95"/>
  </w:style>
  <w:style w:type="paragraph" w:styleId="1">
    <w:name w:val="heading 1"/>
    <w:basedOn w:val="a0"/>
    <w:next w:val="a0"/>
    <w:link w:val="10"/>
    <w:uiPriority w:val="9"/>
    <w:qFormat/>
    <w:rsid w:val="00EC0D95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0"/>
      <w:szCs w:val="30"/>
    </w:rPr>
  </w:style>
  <w:style w:type="paragraph" w:styleId="2">
    <w:name w:val="heading 2"/>
    <w:basedOn w:val="a0"/>
    <w:next w:val="a0"/>
    <w:link w:val="20"/>
    <w:uiPriority w:val="9"/>
    <w:unhideWhenUsed/>
    <w:qFormat/>
    <w:rsid w:val="007D28E9"/>
    <w:pPr>
      <w:keepNext/>
      <w:keepLines/>
      <w:pageBreakBefore/>
      <w:numPr>
        <w:numId w:val="4"/>
      </w:numPr>
      <w:spacing w:before="240" w:after="120"/>
      <w:ind w:left="714" w:hanging="357"/>
      <w:outlineLvl w:val="1"/>
    </w:pPr>
    <w:rPr>
      <w:rFonts w:asciiTheme="majorHAnsi" w:eastAsiaTheme="majorEastAsia" w:hAnsiTheme="majorHAnsi" w:cstheme="majorBidi"/>
      <w:color w:val="668926" w:themeColor="accent2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C0D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6684" w:themeColor="accent6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C0D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B98" w:themeColor="accent5" w:themeShade="BF"/>
      <w:sz w:val="25"/>
      <w:szCs w:val="2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C0D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45C19" w:themeColor="accent2" w:themeShade="80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C0D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44458" w:themeColor="accent6" w:themeShade="80"/>
      <w:sz w:val="23"/>
      <w:szCs w:val="23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C0D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C0D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45C19" w:themeColor="accent2" w:themeShade="80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C0D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044458" w:themeColor="accent6" w:themeShade="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45C16"/>
    <w:pPr>
      <w:tabs>
        <w:tab w:val="center" w:pos="4680"/>
        <w:tab w:val="right" w:pos="9360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345C16"/>
  </w:style>
  <w:style w:type="paragraph" w:styleId="a6">
    <w:name w:val="footer"/>
    <w:aliases w:val="Fußzeile_GFA"/>
    <w:basedOn w:val="a0"/>
    <w:link w:val="a7"/>
    <w:unhideWhenUsed/>
    <w:rsid w:val="00345C16"/>
    <w:pPr>
      <w:tabs>
        <w:tab w:val="center" w:pos="4680"/>
        <w:tab w:val="right" w:pos="9360"/>
      </w:tabs>
      <w:spacing w:after="0"/>
    </w:pPr>
  </w:style>
  <w:style w:type="character" w:customStyle="1" w:styleId="a7">
    <w:name w:val="Нижний колонтитул Знак"/>
    <w:aliases w:val="Fußzeile_GFA Знак"/>
    <w:basedOn w:val="a1"/>
    <w:link w:val="a6"/>
    <w:uiPriority w:val="99"/>
    <w:rsid w:val="00345C16"/>
  </w:style>
  <w:style w:type="character" w:customStyle="1" w:styleId="10">
    <w:name w:val="Заголовок 1 Знак"/>
    <w:basedOn w:val="a1"/>
    <w:link w:val="1"/>
    <w:uiPriority w:val="9"/>
    <w:rsid w:val="00EC0D95"/>
    <w:rPr>
      <w:rFonts w:asciiTheme="majorHAnsi" w:eastAsiaTheme="majorEastAsia" w:hAnsiTheme="majorHAnsi" w:cstheme="majorBidi"/>
      <w:color w:val="3E762A" w:themeColor="accent1" w:themeShade="BF"/>
      <w:sz w:val="30"/>
      <w:szCs w:val="30"/>
    </w:rPr>
  </w:style>
  <w:style w:type="character" w:customStyle="1" w:styleId="20">
    <w:name w:val="Заголовок 2 Знак"/>
    <w:basedOn w:val="a1"/>
    <w:link w:val="2"/>
    <w:uiPriority w:val="9"/>
    <w:rsid w:val="007D28E9"/>
    <w:rPr>
      <w:rFonts w:asciiTheme="majorHAnsi" w:eastAsiaTheme="majorEastAsia" w:hAnsiTheme="majorHAnsi" w:cstheme="majorBidi"/>
      <w:color w:val="668926" w:themeColor="accent2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EC0D95"/>
    <w:rPr>
      <w:rFonts w:asciiTheme="majorHAnsi" w:eastAsiaTheme="majorEastAsia" w:hAnsiTheme="majorHAnsi" w:cstheme="majorBidi"/>
      <w:color w:val="066684" w:themeColor="accent6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EC0D95"/>
    <w:rPr>
      <w:rFonts w:asciiTheme="majorHAnsi" w:eastAsiaTheme="majorEastAsia" w:hAnsiTheme="majorHAnsi" w:cstheme="majorBidi"/>
      <w:i/>
      <w:iCs/>
      <w:color w:val="318B98" w:themeColor="accent5" w:themeShade="BF"/>
      <w:sz w:val="25"/>
      <w:szCs w:val="25"/>
    </w:rPr>
  </w:style>
  <w:style w:type="character" w:customStyle="1" w:styleId="50">
    <w:name w:val="Заголовок 5 Знак"/>
    <w:basedOn w:val="a1"/>
    <w:link w:val="5"/>
    <w:uiPriority w:val="9"/>
    <w:semiHidden/>
    <w:rsid w:val="00EC0D95"/>
    <w:rPr>
      <w:rFonts w:asciiTheme="majorHAnsi" w:eastAsiaTheme="majorEastAsia" w:hAnsiTheme="majorHAnsi" w:cstheme="majorBidi"/>
      <w:i/>
      <w:iCs/>
      <w:color w:val="445C19" w:themeColor="accent2" w:themeShade="80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EC0D95"/>
    <w:rPr>
      <w:rFonts w:asciiTheme="majorHAnsi" w:eastAsiaTheme="majorEastAsia" w:hAnsiTheme="majorHAnsi" w:cstheme="majorBidi"/>
      <w:i/>
      <w:iCs/>
      <w:color w:val="044458" w:themeColor="accent6" w:themeShade="80"/>
      <w:sz w:val="23"/>
      <w:szCs w:val="23"/>
    </w:rPr>
  </w:style>
  <w:style w:type="character" w:customStyle="1" w:styleId="70">
    <w:name w:val="Заголовок 7 Знак"/>
    <w:basedOn w:val="a1"/>
    <w:link w:val="7"/>
    <w:uiPriority w:val="9"/>
    <w:semiHidden/>
    <w:rsid w:val="00EC0D95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80">
    <w:name w:val="Заголовок 8 Знак"/>
    <w:basedOn w:val="a1"/>
    <w:link w:val="8"/>
    <w:uiPriority w:val="9"/>
    <w:semiHidden/>
    <w:rsid w:val="00EC0D95"/>
    <w:rPr>
      <w:rFonts w:asciiTheme="majorHAnsi" w:eastAsiaTheme="majorEastAsia" w:hAnsiTheme="majorHAnsi" w:cstheme="majorBidi"/>
      <w:color w:val="445C19" w:themeColor="accent2" w:themeShade="80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EC0D95"/>
    <w:rPr>
      <w:rFonts w:asciiTheme="majorHAnsi" w:eastAsiaTheme="majorEastAsia" w:hAnsiTheme="majorHAnsi" w:cstheme="majorBidi"/>
      <w:color w:val="044458" w:themeColor="accent6" w:themeShade="80"/>
    </w:rPr>
  </w:style>
  <w:style w:type="paragraph" w:styleId="a8">
    <w:name w:val="caption"/>
    <w:basedOn w:val="a0"/>
    <w:next w:val="a0"/>
    <w:uiPriority w:val="35"/>
    <w:semiHidden/>
    <w:unhideWhenUsed/>
    <w:qFormat/>
    <w:rsid w:val="00EC0D95"/>
    <w:rPr>
      <w:b/>
      <w:bCs/>
      <w:smallCaps/>
      <w:color w:val="549E39" w:themeColor="accent1"/>
      <w:spacing w:val="6"/>
    </w:rPr>
  </w:style>
  <w:style w:type="paragraph" w:styleId="a9">
    <w:name w:val="Title"/>
    <w:basedOn w:val="a0"/>
    <w:next w:val="a0"/>
    <w:link w:val="aa"/>
    <w:uiPriority w:val="10"/>
    <w:qFormat/>
    <w:rsid w:val="00EC0D95"/>
    <w:pPr>
      <w:spacing w:before="360" w:after="120"/>
      <w:contextualSpacing/>
    </w:pPr>
    <w:rPr>
      <w:rFonts w:ascii="Play" w:eastAsiaTheme="majorEastAsia" w:hAnsi="Play" w:cstheme="majorBidi"/>
      <w:color w:val="3E762A" w:themeColor="accent1" w:themeShade="BF"/>
      <w:spacing w:val="-10"/>
      <w:sz w:val="52"/>
      <w:szCs w:val="52"/>
    </w:rPr>
  </w:style>
  <w:style w:type="character" w:customStyle="1" w:styleId="aa">
    <w:name w:val="Название Знак"/>
    <w:basedOn w:val="a1"/>
    <w:link w:val="a9"/>
    <w:uiPriority w:val="10"/>
    <w:rsid w:val="00EC0D95"/>
    <w:rPr>
      <w:rFonts w:ascii="Play" w:eastAsiaTheme="majorEastAsia" w:hAnsi="Play" w:cstheme="majorBidi"/>
      <w:color w:val="3E762A" w:themeColor="accent1" w:themeShade="BF"/>
      <w:spacing w:val="-10"/>
      <w:sz w:val="52"/>
      <w:szCs w:val="52"/>
    </w:rPr>
  </w:style>
  <w:style w:type="paragraph" w:styleId="ab">
    <w:name w:val="Subtitle"/>
    <w:basedOn w:val="a0"/>
    <w:next w:val="a0"/>
    <w:link w:val="ac"/>
    <w:uiPriority w:val="11"/>
    <w:qFormat/>
    <w:rsid w:val="00EC0D95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1"/>
    <w:link w:val="ab"/>
    <w:uiPriority w:val="11"/>
    <w:rsid w:val="00EC0D95"/>
    <w:rPr>
      <w:rFonts w:asciiTheme="majorHAnsi" w:eastAsiaTheme="majorEastAsia" w:hAnsiTheme="majorHAnsi" w:cstheme="majorBidi"/>
    </w:rPr>
  </w:style>
  <w:style w:type="character" w:styleId="ad">
    <w:name w:val="Strong"/>
    <w:basedOn w:val="a1"/>
    <w:uiPriority w:val="22"/>
    <w:qFormat/>
    <w:rsid w:val="00EC0D95"/>
    <w:rPr>
      <w:b/>
      <w:bCs/>
    </w:rPr>
  </w:style>
  <w:style w:type="character" w:styleId="ae">
    <w:name w:val="Emphasis"/>
    <w:basedOn w:val="a1"/>
    <w:uiPriority w:val="20"/>
    <w:qFormat/>
    <w:rsid w:val="00EC0D95"/>
    <w:rPr>
      <w:i/>
      <w:iCs/>
    </w:rPr>
  </w:style>
  <w:style w:type="paragraph" w:styleId="af">
    <w:name w:val="No Spacing"/>
    <w:link w:val="af0"/>
    <w:uiPriority w:val="1"/>
    <w:qFormat/>
    <w:rsid w:val="00EC0D95"/>
    <w:pPr>
      <w:spacing w:after="0"/>
    </w:pPr>
  </w:style>
  <w:style w:type="paragraph" w:styleId="21">
    <w:name w:val="Quote"/>
    <w:basedOn w:val="a0"/>
    <w:next w:val="a0"/>
    <w:link w:val="22"/>
    <w:uiPriority w:val="29"/>
    <w:qFormat/>
    <w:rsid w:val="00EC0D95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EC0D95"/>
    <w:rPr>
      <w:i/>
      <w:iCs/>
    </w:rPr>
  </w:style>
  <w:style w:type="paragraph" w:styleId="af1">
    <w:name w:val="Intense Quote"/>
    <w:basedOn w:val="a0"/>
    <w:next w:val="a0"/>
    <w:link w:val="af2"/>
    <w:uiPriority w:val="30"/>
    <w:qFormat/>
    <w:rsid w:val="00EC0D9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49E39" w:themeColor="accent1"/>
      <w:sz w:val="24"/>
      <w:szCs w:val="24"/>
    </w:rPr>
  </w:style>
  <w:style w:type="character" w:customStyle="1" w:styleId="af2">
    <w:name w:val="Выделенная цитата Знак"/>
    <w:basedOn w:val="a1"/>
    <w:link w:val="af1"/>
    <w:uiPriority w:val="30"/>
    <w:rsid w:val="00EC0D95"/>
    <w:rPr>
      <w:rFonts w:asciiTheme="majorHAnsi" w:eastAsiaTheme="majorEastAsia" w:hAnsiTheme="majorHAnsi" w:cstheme="majorBidi"/>
      <w:color w:val="549E39" w:themeColor="accent1"/>
      <w:sz w:val="24"/>
      <w:szCs w:val="24"/>
    </w:rPr>
  </w:style>
  <w:style w:type="character" w:styleId="af3">
    <w:name w:val="Subtle Emphasis"/>
    <w:basedOn w:val="a1"/>
    <w:uiPriority w:val="19"/>
    <w:qFormat/>
    <w:rsid w:val="00EC0D95"/>
    <w:rPr>
      <w:i/>
      <w:iCs/>
      <w:color w:val="404040" w:themeColor="text1" w:themeTint="BF"/>
    </w:rPr>
  </w:style>
  <w:style w:type="character" w:styleId="af4">
    <w:name w:val="Intense Emphasis"/>
    <w:basedOn w:val="a1"/>
    <w:uiPriority w:val="21"/>
    <w:qFormat/>
    <w:rsid w:val="00EC0D95"/>
    <w:rPr>
      <w:b w:val="0"/>
      <w:bCs w:val="0"/>
      <w:i/>
      <w:iCs/>
      <w:color w:val="549E39" w:themeColor="accent1"/>
    </w:rPr>
  </w:style>
  <w:style w:type="character" w:styleId="af5">
    <w:name w:val="Subtle Reference"/>
    <w:basedOn w:val="a1"/>
    <w:uiPriority w:val="31"/>
    <w:qFormat/>
    <w:rsid w:val="00EC0D95"/>
    <w:rPr>
      <w:smallCaps/>
      <w:color w:val="404040" w:themeColor="text1" w:themeTint="BF"/>
      <w:u w:val="single" w:color="7F7F7F" w:themeColor="text1" w:themeTint="80"/>
    </w:rPr>
  </w:style>
  <w:style w:type="character" w:styleId="af6">
    <w:name w:val="Intense Reference"/>
    <w:basedOn w:val="a1"/>
    <w:uiPriority w:val="32"/>
    <w:qFormat/>
    <w:rsid w:val="00EC0D95"/>
    <w:rPr>
      <w:b/>
      <w:bCs/>
      <w:smallCaps/>
      <w:color w:val="549E39" w:themeColor="accent1"/>
      <w:spacing w:val="5"/>
      <w:u w:val="single"/>
    </w:rPr>
  </w:style>
  <w:style w:type="character" w:styleId="af7">
    <w:name w:val="Book Title"/>
    <w:basedOn w:val="a1"/>
    <w:uiPriority w:val="33"/>
    <w:qFormat/>
    <w:rsid w:val="00EC0D95"/>
    <w:rPr>
      <w:b/>
      <w:bCs/>
      <w:smallCaps/>
    </w:rPr>
  </w:style>
  <w:style w:type="paragraph" w:styleId="af8">
    <w:name w:val="TOC Heading"/>
    <w:basedOn w:val="1"/>
    <w:next w:val="a0"/>
    <w:uiPriority w:val="39"/>
    <w:unhideWhenUsed/>
    <w:qFormat/>
    <w:rsid w:val="00EC0D95"/>
    <w:pPr>
      <w:outlineLvl w:val="9"/>
    </w:pPr>
  </w:style>
  <w:style w:type="table" w:styleId="af9">
    <w:name w:val="Table Grid"/>
    <w:basedOn w:val="a2"/>
    <w:uiPriority w:val="59"/>
    <w:rsid w:val="00C2254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basedOn w:val="a1"/>
    <w:link w:val="af"/>
    <w:uiPriority w:val="1"/>
    <w:rsid w:val="00C22541"/>
  </w:style>
  <w:style w:type="character" w:styleId="afa">
    <w:name w:val="Hyperlink"/>
    <w:basedOn w:val="a1"/>
    <w:uiPriority w:val="99"/>
    <w:rsid w:val="00C22541"/>
    <w:rPr>
      <w:color w:val="0000FF"/>
      <w:u w:val="single"/>
    </w:rPr>
  </w:style>
  <w:style w:type="paragraph" w:customStyle="1" w:styleId="QMS">
    <w:name w:val="QMS"/>
    <w:basedOn w:val="a"/>
    <w:rsid w:val="00C22541"/>
    <w:pPr>
      <w:tabs>
        <w:tab w:val="clear" w:pos="360"/>
      </w:tabs>
      <w:suppressAutoHyphens w:val="0"/>
      <w:ind w:left="283" w:hanging="283"/>
      <w:jc w:val="center"/>
    </w:pPr>
    <w:rPr>
      <w:rFonts w:ascii="Arial" w:hAnsi="Arial"/>
      <w:b/>
      <w:sz w:val="48"/>
      <w:lang w:eastAsia="ru-RU"/>
    </w:rPr>
  </w:style>
  <w:style w:type="paragraph" w:styleId="a">
    <w:name w:val="List Number"/>
    <w:basedOn w:val="a0"/>
    <w:rsid w:val="00C22541"/>
    <w:pPr>
      <w:numPr>
        <w:numId w:val="1"/>
      </w:numPr>
      <w:suppressAutoHyphens/>
      <w:spacing w:after="0"/>
    </w:pPr>
    <w:rPr>
      <w:rFonts w:ascii="Times New Roman" w:eastAsia="Times New Roman" w:hAnsi="Times New Roman" w:cs="Wingdings"/>
      <w:sz w:val="24"/>
      <w:szCs w:val="20"/>
      <w:lang w:val="ru-RU" w:eastAsia="ar-SA"/>
    </w:rPr>
  </w:style>
  <w:style w:type="paragraph" w:styleId="23">
    <w:name w:val="toc 2"/>
    <w:basedOn w:val="a0"/>
    <w:next w:val="a0"/>
    <w:autoRedefine/>
    <w:uiPriority w:val="39"/>
    <w:unhideWhenUsed/>
    <w:rsid w:val="007D28E9"/>
    <w:pPr>
      <w:tabs>
        <w:tab w:val="left" w:pos="660"/>
        <w:tab w:val="right" w:leader="dot" w:pos="9017"/>
      </w:tabs>
      <w:spacing w:after="100" w:line="259" w:lineRule="auto"/>
      <w:ind w:left="220"/>
      <w:jc w:val="center"/>
    </w:pPr>
    <w:rPr>
      <w:rFonts w:cs="Times New Roman"/>
      <w:lang w:val="ru-RU" w:eastAsia="ru-RU"/>
    </w:rPr>
  </w:style>
  <w:style w:type="paragraph" w:styleId="11">
    <w:name w:val="toc 1"/>
    <w:basedOn w:val="a0"/>
    <w:next w:val="a0"/>
    <w:autoRedefine/>
    <w:uiPriority w:val="39"/>
    <w:unhideWhenUsed/>
    <w:rsid w:val="00EC0D95"/>
    <w:pPr>
      <w:spacing w:after="100" w:line="259" w:lineRule="auto"/>
    </w:pPr>
    <w:rPr>
      <w:rFonts w:cs="Times New Roman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EC0D95"/>
    <w:pPr>
      <w:spacing w:after="100" w:line="259" w:lineRule="auto"/>
      <w:ind w:left="440"/>
    </w:pPr>
    <w:rPr>
      <w:rFonts w:cs="Times New Roman"/>
      <w:lang w:val="ru-RU" w:eastAsia="ru-RU"/>
    </w:rPr>
  </w:style>
  <w:style w:type="paragraph" w:styleId="afb">
    <w:name w:val="List Paragraph"/>
    <w:basedOn w:val="a0"/>
    <w:uiPriority w:val="34"/>
    <w:qFormat/>
    <w:rsid w:val="004A6C40"/>
    <w:pPr>
      <w:ind w:left="720"/>
      <w:contextualSpacing/>
    </w:pPr>
  </w:style>
  <w:style w:type="paragraph" w:customStyle="1" w:styleId="Default">
    <w:name w:val="Default"/>
    <w:rsid w:val="00251C58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sz w:val="24"/>
      <w:szCs w:val="24"/>
      <w:lang w:val="ru-RU"/>
    </w:rPr>
  </w:style>
  <w:style w:type="character" w:styleId="afc">
    <w:name w:val="FollowedHyperlink"/>
    <w:basedOn w:val="a1"/>
    <w:uiPriority w:val="99"/>
    <w:semiHidden/>
    <w:unhideWhenUsed/>
    <w:rsid w:val="00160FC0"/>
    <w:rPr>
      <w:color w:val="BA6906" w:themeColor="followedHyperlink"/>
      <w:u w:val="single"/>
    </w:rPr>
  </w:style>
  <w:style w:type="character" w:styleId="afd">
    <w:name w:val="Placeholder Text"/>
    <w:basedOn w:val="a1"/>
    <w:uiPriority w:val="99"/>
    <w:semiHidden/>
    <w:rsid w:val="00811499"/>
    <w:rPr>
      <w:color w:val="808080"/>
    </w:rPr>
  </w:style>
  <w:style w:type="paragraph" w:styleId="afe">
    <w:name w:val="Balloon Text"/>
    <w:basedOn w:val="a0"/>
    <w:link w:val="aff"/>
    <w:uiPriority w:val="99"/>
    <w:semiHidden/>
    <w:unhideWhenUsed/>
    <w:rsid w:val="000346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1"/>
    <w:link w:val="afe"/>
    <w:uiPriority w:val="99"/>
    <w:semiHidden/>
    <w:rsid w:val="000346DE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a1"/>
    <w:uiPriority w:val="99"/>
    <w:semiHidden/>
    <w:unhideWhenUsed/>
    <w:rsid w:val="00A45F0A"/>
    <w:rPr>
      <w:color w:val="2B579A"/>
      <w:shd w:val="clear" w:color="auto" w:fill="E6E6E6"/>
    </w:rPr>
  </w:style>
  <w:style w:type="character" w:styleId="aff0">
    <w:name w:val="annotation reference"/>
    <w:basedOn w:val="a1"/>
    <w:uiPriority w:val="99"/>
    <w:semiHidden/>
    <w:unhideWhenUsed/>
    <w:rsid w:val="009763E3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unhideWhenUsed/>
    <w:rsid w:val="009763E3"/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rsid w:val="009763E3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763E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9763E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sc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pex-g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ex-g.ru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E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24A13-8DFC-4739-9F90-8DB2C172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Agamirzov</dc:creator>
  <cp:keywords/>
  <dc:description/>
  <cp:lastModifiedBy>User</cp:lastModifiedBy>
  <cp:revision>2</cp:revision>
  <cp:lastPrinted>2017-07-28T09:22:00Z</cp:lastPrinted>
  <dcterms:created xsi:type="dcterms:W3CDTF">2017-07-28T10:08:00Z</dcterms:created>
  <dcterms:modified xsi:type="dcterms:W3CDTF">2017-07-28T10:08:00Z</dcterms:modified>
</cp:coreProperties>
</file>